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方正小标宋_GBK" w:eastAsia="方正小标宋_GBK" w:cs="方正小标宋_GBK"/>
          <w:spacing w:val="-5"/>
          <w:sz w:val="32"/>
          <w:szCs w:val="32"/>
        </w:rPr>
      </w:pPr>
      <w:r>
        <w:rPr>
          <w:rFonts w:hint="eastAsia" w:ascii="方正小标宋_GBK" w:hAnsi="方正小标宋_GBK" w:eastAsia="方正小标宋_GBK" w:cs="方正小标宋_GBK"/>
          <w:spacing w:val="-5"/>
          <w:sz w:val="32"/>
          <w:szCs w:val="32"/>
        </w:rPr>
        <w:t>英大集团2022年社会招聘岗位一览表</w:t>
      </w:r>
    </w:p>
    <w:tbl>
      <w:tblPr>
        <w:tblStyle w:val="5"/>
        <w:tblW w:w="15619" w:type="dxa"/>
        <w:jc w:val="center"/>
        <w:tblInd w:w="0" w:type="dxa"/>
        <w:tblLayout w:type="fixed"/>
        <w:tblCellMar>
          <w:top w:w="0" w:type="dxa"/>
          <w:left w:w="108" w:type="dxa"/>
          <w:bottom w:w="0" w:type="dxa"/>
          <w:right w:w="108" w:type="dxa"/>
        </w:tblCellMar>
      </w:tblPr>
      <w:tblGrid>
        <w:gridCol w:w="405"/>
        <w:gridCol w:w="853"/>
        <w:gridCol w:w="1064"/>
        <w:gridCol w:w="494"/>
        <w:gridCol w:w="6200"/>
        <w:gridCol w:w="6603"/>
      </w:tblGrid>
      <w:tr>
        <w:tblPrEx>
          <w:tblLayout w:type="fixed"/>
          <w:tblCellMar>
            <w:top w:w="0" w:type="dxa"/>
            <w:left w:w="108" w:type="dxa"/>
            <w:bottom w:w="0" w:type="dxa"/>
            <w:right w:w="108" w:type="dxa"/>
          </w:tblCellMar>
        </w:tblPrEx>
        <w:trPr>
          <w:trHeight w:val="459" w:hRule="exact"/>
          <w:jc w:val="center"/>
        </w:trPr>
        <w:tc>
          <w:tcPr>
            <w:tcW w:w="156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b/>
                <w:bCs/>
                <w:color w:val="000000"/>
                <w:sz w:val="24"/>
                <w:szCs w:val="24"/>
              </w:rPr>
              <w:t>英大保险资产管理有限公司：</w:t>
            </w:r>
          </w:p>
        </w:tc>
      </w:tr>
      <w:tr>
        <w:tblPrEx>
          <w:tblLayout w:type="fixed"/>
          <w:tblCellMar>
            <w:top w:w="0" w:type="dxa"/>
            <w:left w:w="108" w:type="dxa"/>
            <w:bottom w:w="0" w:type="dxa"/>
            <w:right w:w="108" w:type="dxa"/>
          </w:tblCellMar>
        </w:tblPrEx>
        <w:trPr>
          <w:trHeight w:val="9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序号</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w:t>
            </w:r>
          </w:p>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名称</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人数</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岗位职责</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任职条件</w:t>
            </w:r>
          </w:p>
        </w:tc>
      </w:tr>
      <w:tr>
        <w:tblPrEx>
          <w:tblLayout w:type="fixed"/>
          <w:tblCellMar>
            <w:top w:w="0" w:type="dxa"/>
            <w:left w:w="108" w:type="dxa"/>
            <w:bottom w:w="0" w:type="dxa"/>
            <w:right w:w="108" w:type="dxa"/>
          </w:tblCellMar>
        </w:tblPrEx>
        <w:trPr>
          <w:cantSplit/>
          <w:trHeight w:val="13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85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权益投资部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投资经理</w:t>
            </w:r>
            <w:r>
              <w:rPr>
                <w:rFonts w:hint="eastAsia" w:ascii="方正仿宋_GBK" w:hAnsi="方正仿宋_GB2312" w:eastAsia="方正仿宋_GBK" w:cs="方正仿宋_GB2312"/>
                <w:color w:val="000000"/>
                <w:kern w:val="0"/>
                <w:sz w:val="24"/>
                <w:szCs w:val="24"/>
              </w:rPr>
              <w:br w:type="textWrapping"/>
            </w:r>
            <w:r>
              <w:rPr>
                <w:rFonts w:hint="eastAsia" w:ascii="方正仿宋_GBK" w:hAnsi="方正仿宋_GB2312" w:eastAsia="方正仿宋_GBK" w:cs="方正仿宋_GB2312"/>
                <w:color w:val="000000"/>
                <w:kern w:val="0"/>
                <w:sz w:val="24"/>
                <w:szCs w:val="24"/>
              </w:rPr>
              <w:t>（股票）</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2</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根据权益投资市场情况及资产配置方案提出组合股票投资策略；依据公司投资决策构建并管理所负责账户的股票投资组合；参与股票相关研究及参与构建股票备选池；配合风险控制部门对股票投资组合的风险监控；参与部门对研究员的绩效考核；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金融、投资、经济类等相关专业；5年以上投资运作相关工作经验，3年及以上股票投资经验；具备丰富的专业知识，掌握股票投资相关政策、法规，对股票市场有较强的洞察力和敏锐性，并获得了较好的投资业绩。</w:t>
            </w:r>
          </w:p>
        </w:tc>
      </w:tr>
      <w:tr>
        <w:tblPrEx>
          <w:tblLayout w:type="fixed"/>
          <w:tblCellMar>
            <w:top w:w="0" w:type="dxa"/>
            <w:left w:w="108" w:type="dxa"/>
            <w:bottom w:w="0" w:type="dxa"/>
            <w:right w:w="108" w:type="dxa"/>
          </w:tblCellMar>
        </w:tblPrEx>
        <w:trPr>
          <w:cantSplit/>
          <w:trHeight w:val="1822"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2</w:t>
            </w:r>
          </w:p>
        </w:tc>
        <w:tc>
          <w:tcPr>
            <w:tcW w:w="853" w:type="dxa"/>
            <w:vMerge w:val="continue"/>
            <w:tcBorders>
              <w:left w:val="single" w:color="000000" w:sz="4" w:space="0"/>
              <w:bottom w:val="single" w:color="auto" w:sz="4" w:space="0"/>
              <w:right w:val="single" w:color="000000" w:sz="4" w:space="0"/>
            </w:tcBorders>
            <w:shd w:val="clear" w:color="auto" w:fill="auto"/>
            <w:vAlign w:val="center"/>
          </w:tcPr>
          <w:p>
            <w:pPr>
              <w:spacing w:line="300" w:lineRule="exact"/>
              <w:jc w:val="center"/>
              <w:rPr>
                <w:rFonts w:ascii="方正仿宋_GBK" w:hAnsi="方正仿宋_GB2312" w:eastAsia="方正仿宋_GBK" w:cs="方正仿宋_GB2312"/>
                <w:color w:val="000000"/>
                <w:sz w:val="24"/>
                <w:szCs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行业研究员</w:t>
            </w:r>
            <w:r>
              <w:rPr>
                <w:rFonts w:hint="eastAsia" w:ascii="方正仿宋_GBK" w:eastAsia="方正仿宋_GBK"/>
                <w:color w:val="000000"/>
                <w:kern w:val="0"/>
              </w:rPr>
              <w:t>（大周期、化工、中游制造等）</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2</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构建权益投资研究体系，为投资决策提供支持；开展上市公司主要行业研究，包括行业发展前景研究、行业估值模型研究和行业投资策略研究，为投资决策提供相关参考；跟踪分析股票等权益市场，挖掘市场机会，建立和维护股票池；协助投资经理进行专题研究，撰写投资分析报告；构建模拟投资组合；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金融、投资、经济、经营管理等相关专业；3年以上行业研究工作经验，2年及以上所招聘行业的研究基础和经验；掌握宏</w:t>
            </w:r>
            <w:r>
              <w:rPr>
                <w:rFonts w:hint="eastAsia" w:ascii="方正仿宋_GBK" w:hAnsi="方正仿宋_GB2312" w:eastAsia="方正仿宋_GBK" w:cs="方正仿宋_GB2312"/>
                <w:kern w:val="0"/>
                <w:sz w:val="24"/>
                <w:szCs w:val="24"/>
              </w:rPr>
              <w:t>观经济、权益投资、行业研究等相关管理知识；</w:t>
            </w:r>
            <w:r>
              <w:rPr>
                <w:rFonts w:hint="eastAsia" w:ascii="方正仿宋_GBK" w:hAnsi="方正仿宋_GB2312" w:eastAsia="方正仿宋_GBK" w:cs="方正仿宋_GB2312"/>
                <w:color w:val="000000"/>
                <w:kern w:val="0"/>
                <w:sz w:val="24"/>
                <w:szCs w:val="24"/>
              </w:rPr>
              <w:t>具有较强的文字表达能力，逻辑分析能力，能针对工作中的问题提出建设性意见。</w:t>
            </w:r>
          </w:p>
        </w:tc>
      </w:tr>
      <w:tr>
        <w:tblPrEx>
          <w:tblLayout w:type="fixed"/>
          <w:tblCellMar>
            <w:top w:w="0" w:type="dxa"/>
            <w:left w:w="108" w:type="dxa"/>
            <w:bottom w:w="0" w:type="dxa"/>
            <w:right w:w="108" w:type="dxa"/>
          </w:tblCellMar>
        </w:tblPrEx>
        <w:trPr>
          <w:cantSplit/>
          <w:trHeight w:val="1172"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3</w:t>
            </w:r>
          </w:p>
        </w:tc>
        <w:tc>
          <w:tcPr>
            <w:tcW w:w="8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股权投资事业部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投资运作岗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kern w:val="0"/>
                <w:sz w:val="24"/>
                <w:szCs w:val="24"/>
              </w:rPr>
              <w:t>负责拟投资</w:t>
            </w:r>
            <w:r>
              <w:rPr>
                <w:rFonts w:hint="eastAsia" w:ascii="方正仿宋_GBK" w:hAnsi="方正仿宋_GB2312" w:eastAsia="方正仿宋_GBK" w:cs="方正仿宋_GB2312"/>
                <w:color w:val="000000"/>
                <w:kern w:val="0"/>
                <w:sz w:val="24"/>
                <w:szCs w:val="24"/>
              </w:rPr>
              <w:t>行业研究和投资标的价值评估分析；参与尽职调查，审查法律协议及相关文件，撰写尽调报告；负责股权投资计划注册/登记材料的编制和报送；配合收集投资标的后续材料，协助开展后续管理工作；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金融、投资、经济类等相关专业；3年及以上股权投资工作经验，有保险公司或保险资管公司投资部门、或PE/VC公司工作经验、或有投资计划发行相关经验者优先；熟练掌握保险资金股权投资相关政策法规，具备相关专业知识和实际业务操作经验；具备较强的沟通协调、商务谈判和文字表达能力，具有良好的心理素质，无影响任职的不良行为记录。</w:t>
            </w:r>
          </w:p>
        </w:tc>
      </w:tr>
      <w:tr>
        <w:tblPrEx>
          <w:tblLayout w:type="fixed"/>
          <w:tblCellMar>
            <w:top w:w="0" w:type="dxa"/>
            <w:left w:w="108" w:type="dxa"/>
            <w:bottom w:w="0" w:type="dxa"/>
            <w:right w:w="108" w:type="dxa"/>
          </w:tblCellMar>
        </w:tblPrEx>
        <w:trPr>
          <w:cantSplit/>
          <w:trHeight w:val="223"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另类投资部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投资</w:t>
            </w:r>
          </w:p>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经理</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负责在市场上寻找和挖掘潜在投资项目；负责进行项目尽职调查，进行投资价值分析，撰写投资建议书；负责与各方谈判交易结构、投资条款、协议文本等，履行投资决策程序；负责另类投资项目的实施管理；配合另类投资投后管理相关工作；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金融、投资、经济类等相关专业；3年及以上非标投资工作经验，有保险公司或保险资管公司投资部门、或PE/VC公司工作经验、或有投资计划发行相关经验者优先；熟练掌握保险资金非标投资相关政策法规，具备相关专业知识和实际业务操作经验；具备较强的沟通协调、商务谈判和文字表达能力。</w:t>
            </w:r>
          </w:p>
        </w:tc>
      </w:tr>
      <w:tr>
        <w:tblPrEx>
          <w:tblLayout w:type="fixed"/>
          <w:tblCellMar>
            <w:top w:w="0" w:type="dxa"/>
            <w:left w:w="108" w:type="dxa"/>
            <w:bottom w:w="0" w:type="dxa"/>
            <w:right w:w="108" w:type="dxa"/>
          </w:tblCellMar>
        </w:tblPrEx>
        <w:trPr>
          <w:cantSplit/>
          <w:trHeight w:val="618"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5</w:t>
            </w:r>
          </w:p>
        </w:tc>
        <w:tc>
          <w:tcPr>
            <w:tcW w:w="853" w:type="dxa"/>
            <w:tcBorders>
              <w:top w:val="single" w:color="000000" w:sz="4" w:space="0"/>
              <w:left w:val="single" w:color="000000" w:sz="4" w:space="0"/>
              <w:right w:val="single" w:color="000000" w:sz="4" w:space="0"/>
            </w:tcBorders>
            <w:shd w:val="clear" w:color="auto" w:fill="auto"/>
            <w:noWrap/>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项目事业部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总经理</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3</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负责组织项目部完成各项考核指标；负责项目部业务团队建设及管理；负责拟定项目部业务开发计划并组织实施；负责组织协调项目承揽、承做、承销全流程开发；负责开发、维护、服务重点合作客户；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金融、投资、经济类等相关专业；5年及以上项目投资或信贷管理等相关工作经验，3年及以上团队管理经验；具备丰富的专业知识和实际业务经验，熟练掌握相关政策法规，掌握项目投资或信贷相关管理知识；具备较强的沟通协调、商务谈判和文字表达能力，有一定项目管理业务资源和储备。</w:t>
            </w:r>
          </w:p>
        </w:tc>
      </w:tr>
      <w:tr>
        <w:tblPrEx>
          <w:tblLayout w:type="fixed"/>
          <w:tblCellMar>
            <w:top w:w="0" w:type="dxa"/>
            <w:left w:w="108" w:type="dxa"/>
            <w:bottom w:w="0" w:type="dxa"/>
            <w:right w:w="108" w:type="dxa"/>
          </w:tblCellMar>
        </w:tblPrEx>
        <w:trPr>
          <w:cantSplit/>
          <w:trHeight w:val="668"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产品市场部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市场拓展岗</w:t>
            </w:r>
            <w:r>
              <w:rPr>
                <w:rFonts w:hint="eastAsia" w:ascii="方正仿宋_GBK" w:hAnsi="方正仿宋_GB2312" w:eastAsia="方正仿宋_GBK" w:cs="方正仿宋_GB2312"/>
                <w:kern w:val="0"/>
                <w:sz w:val="24"/>
                <w:szCs w:val="24"/>
              </w:rPr>
              <w:t>高级经理</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负责开发新客户和渠道，并对公司原有客户和渠道进行维护；负责根据客户需求组织各方开展商务谈判，推介合作方案；负责落实公司相关产品或项目的募集与发行等销售管理工作；负责跟踪市场动向及监管情况，维护监管渠道；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金融、投资、经济类等相关专业；5年及以上产品管理、市场营销相关工作经验，金融保险、银行证券行业经验者优先考虑；具有较强的产品开发、市场渠道和营销能力，较强的文字表达能力、沟通协调能力，团结协作意识强。</w:t>
            </w:r>
          </w:p>
        </w:tc>
      </w:tr>
      <w:tr>
        <w:tblPrEx>
          <w:tblLayout w:type="fixed"/>
          <w:tblCellMar>
            <w:top w:w="0" w:type="dxa"/>
            <w:left w:w="108" w:type="dxa"/>
            <w:bottom w:w="0" w:type="dxa"/>
            <w:right w:w="108" w:type="dxa"/>
          </w:tblCellMar>
        </w:tblPrEx>
        <w:trPr>
          <w:cantSplit/>
          <w:trHeight w:val="6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7</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信用评估部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信用评估岗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负责建立或提出完善信用评估分析模型的建议；负责对相关行业的债券等信用产品及交易对手进行初次评级，提出内部信用等级建议；负责对已完成初次评级的信用产品及交易对手进行跟踪评级，提出内部信用等级建议；负责完成日常信用风险监测、信用风险研究相关工作；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经济、金融、管理类相关专业；3年及以上本岗位或相关领域工作经验，CFA、FRM或CPA优先考虑；有较强的企业经营分析和财务分析能力，较好的职业素质、团队协作精神和沟通能力，较强的责任意识和服务意识。</w:t>
            </w:r>
          </w:p>
        </w:tc>
      </w:tr>
      <w:tr>
        <w:tblPrEx>
          <w:tblLayout w:type="fixed"/>
          <w:tblCellMar>
            <w:top w:w="0" w:type="dxa"/>
            <w:left w:w="108" w:type="dxa"/>
            <w:bottom w:w="0" w:type="dxa"/>
            <w:right w:w="108" w:type="dxa"/>
          </w:tblCellMar>
        </w:tblPrEx>
        <w:trPr>
          <w:cantSplit/>
          <w:trHeight w:val="193"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8</w:t>
            </w:r>
          </w:p>
        </w:tc>
        <w:tc>
          <w:tcPr>
            <w:tcW w:w="8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rPr>
              <w:t>组织人事部</w:t>
            </w:r>
            <w:r>
              <w:rPr>
                <w:rFonts w:hint="eastAsia" w:ascii="方正仿宋_GBK" w:hAnsi="方正仿宋_GB2312" w:eastAsia="方正仿宋_GBK" w:cs="方正仿宋_GB2312"/>
                <w:color w:val="000000"/>
                <w:kern w:val="0"/>
                <w:sz w:val="24"/>
                <w:szCs w:val="24"/>
              </w:rPr>
              <w:br w:type="textWrapping"/>
            </w:r>
            <w:r>
              <w:rPr>
                <w:rFonts w:hint="eastAsia" w:ascii="方正仿宋_GBK" w:hAnsi="方正仿宋_GB2312" w:eastAsia="方正仿宋_GBK" w:cs="方正仿宋_GB2312"/>
                <w:color w:val="000000"/>
                <w:kern w:val="0"/>
                <w:sz w:val="24"/>
                <w:szCs w:val="24"/>
                <w:lang w:val="en-US" w:eastAsia="zh-CN"/>
              </w:rPr>
              <w:t>(</w:t>
            </w:r>
            <w:r>
              <w:rPr>
                <w:rFonts w:hint="eastAsia" w:ascii="方正仿宋_GBK" w:hAnsi="方正仿宋_GB2312" w:eastAsia="方正仿宋_GBK" w:cs="方正仿宋_GB2312"/>
                <w:color w:val="000000"/>
                <w:kern w:val="0"/>
                <w:sz w:val="24"/>
                <w:szCs w:val="24"/>
              </w:rPr>
              <w:t>人力资源部</w:t>
            </w:r>
            <w:r>
              <w:rPr>
                <w:rFonts w:hint="eastAsia" w:ascii="方正仿宋_GBK" w:hAnsi="方正仿宋_GB2312" w:eastAsia="方正仿宋_GBK" w:cs="方正仿宋_GB2312"/>
                <w:color w:val="000000"/>
                <w:kern w:val="0"/>
                <w:sz w:val="24"/>
                <w:szCs w:val="24"/>
                <w:lang w:val="en-US" w:eastAsia="zh-CN"/>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lang w:eastAsia="zh-CN"/>
              </w:rPr>
              <w:t>员工</w:t>
            </w:r>
            <w:r>
              <w:rPr>
                <w:rFonts w:hint="eastAsia" w:ascii="方正仿宋_GBK" w:hAnsi="方正仿宋_GB2312" w:eastAsia="方正仿宋_GBK" w:cs="方正仿宋_GB2312"/>
                <w:color w:val="000000"/>
                <w:kern w:val="0"/>
                <w:sz w:val="24"/>
                <w:szCs w:val="24"/>
              </w:rPr>
              <w:t>发展岗</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根据公司发展规划，拟定公司人力资源规划，编制年度人力计划报告；根据年度招聘计划，负责制定招聘方案，组织开展员工招聘工作；负责员工调、转、入、离等日常管理工作；负责员工教育培训管理，制定年度培训方案，组织开展年度员工培训；负责人力资源档案管理；负责完成领导交办的其他工作。</w:t>
            </w:r>
          </w:p>
        </w:tc>
        <w:tc>
          <w:tcPr>
            <w:tcW w:w="6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经济、管理类相关专业；3年及以上本岗位或相关领域工作经验，中级人力资源管理师优先考虑；中共党员，具备专业知识背景，熟练掌握人力资源有关政策、法规；具有较好的职业素质、团队协作精神和沟通能力，较强的责任意识和服务意识。</w:t>
            </w:r>
          </w:p>
        </w:tc>
      </w:tr>
      <w:tr>
        <w:tblPrEx>
          <w:tblLayout w:type="fixed"/>
          <w:tblCellMar>
            <w:top w:w="0" w:type="dxa"/>
            <w:left w:w="108" w:type="dxa"/>
            <w:bottom w:w="0" w:type="dxa"/>
            <w:right w:w="108" w:type="dxa"/>
          </w:tblCellMar>
        </w:tblPrEx>
        <w:trPr>
          <w:cantSplit/>
          <w:trHeight w:val="465" w:hRule="atLeast"/>
          <w:jc w:val="center"/>
        </w:trPr>
        <w:tc>
          <w:tcPr>
            <w:tcW w:w="23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b/>
                <w:bCs/>
                <w:color w:val="000000"/>
                <w:kern w:val="0"/>
                <w:sz w:val="24"/>
                <w:szCs w:val="24"/>
              </w:rPr>
              <w:t>合计</w:t>
            </w:r>
          </w:p>
        </w:tc>
        <w:tc>
          <w:tcPr>
            <w:tcW w:w="132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color w:val="000000"/>
                <w:sz w:val="24"/>
                <w:szCs w:val="24"/>
              </w:rPr>
              <w:t>共12人</w:t>
            </w:r>
          </w:p>
        </w:tc>
      </w:tr>
    </w:tbl>
    <w:p/>
    <w:p/>
    <w:p/>
    <w:tbl>
      <w:tblPr>
        <w:tblStyle w:val="5"/>
        <w:tblW w:w="15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947"/>
        <w:gridCol w:w="913"/>
        <w:gridCol w:w="562"/>
        <w:gridCol w:w="6628"/>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619" w:type="dxa"/>
            <w:gridSpan w:val="6"/>
            <w:shd w:val="clear" w:color="auto" w:fill="auto"/>
            <w:vAlign w:val="center"/>
          </w:tcPr>
          <w:p>
            <w:pPr>
              <w:widowControl/>
              <w:spacing w:line="300" w:lineRule="exact"/>
              <w:jc w:val="left"/>
              <w:textAlignment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b/>
                <w:bCs/>
                <w:color w:val="000000"/>
                <w:sz w:val="24"/>
                <w:szCs w:val="24"/>
              </w:rPr>
              <w:t>英大基金管理有限公司：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序号</w:t>
            </w:r>
          </w:p>
        </w:tc>
        <w:tc>
          <w:tcPr>
            <w:tcW w:w="947"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部门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岗位名称</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人数</w:t>
            </w:r>
          </w:p>
        </w:tc>
        <w:tc>
          <w:tcPr>
            <w:tcW w:w="6628"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岗位职责</w:t>
            </w:r>
          </w:p>
        </w:tc>
        <w:tc>
          <w:tcPr>
            <w:tcW w:w="6025"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lang w:val="en-US" w:eastAsia="zh-CN"/>
              </w:rPr>
              <w:t>1</w:t>
            </w:r>
          </w:p>
        </w:tc>
        <w:tc>
          <w:tcPr>
            <w:tcW w:w="947" w:type="dxa"/>
            <w:shd w:val="clear" w:color="auto" w:fill="auto"/>
            <w:vAlign w:val="center"/>
          </w:tcPr>
          <w:p>
            <w:pPr>
              <w:spacing w:line="300" w:lineRule="exact"/>
              <w:jc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能源REITs资产证券化业务部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投资管理岗（项目开发）</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sz w:val="24"/>
                <w:szCs w:val="24"/>
              </w:rPr>
              <w:t>1</w:t>
            </w:r>
          </w:p>
        </w:tc>
        <w:tc>
          <w:tcPr>
            <w:tcW w:w="6628"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负责协助公司进行能源领域基础设施公募REITs项目开发；负责组织开展项目尽调、项目方案设计、项目论证等工作；负责组织项目材料制作及整理；负责与各相关部委进行项目沟通及汇报；负责协调财务顾问、会计师、资产评估机构、律师等工作开展情况；负责组织汇报材料，定期完成项目进度报告；完成上级交办的其他工作。</w:t>
            </w:r>
          </w:p>
        </w:tc>
        <w:tc>
          <w:tcPr>
            <w:tcW w:w="6025"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专业不限；具有8年及以上企业资本运作经验，主导过资产IPO、类REITs等项目，熟悉项目尽调、交易结构搭建、财务测算等；熟悉REITs监管政策，了解市场动态；CPA、律师从业资格、保荐人优先；有电网、发电、新能源行业工作经验优先；通过基金从业资格考试，具有基金从业资格者优先；具备良好的文字材料能力有自主开拓精神，积极进取，勇于挑战，风控合规意识强，无任何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lang w:val="en-US" w:eastAsia="zh-CN"/>
              </w:rPr>
              <w:t>2</w:t>
            </w:r>
          </w:p>
        </w:tc>
        <w:tc>
          <w:tcPr>
            <w:tcW w:w="947"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互联网金融部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项目管理岗（数据管理）</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sz w:val="24"/>
                <w:szCs w:val="24"/>
              </w:rPr>
              <w:t>1</w:t>
            </w:r>
          </w:p>
        </w:tc>
        <w:tc>
          <w:tcPr>
            <w:tcW w:w="6628"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负责公司数据整合、数据治理，负责企业数据现状梳理、分析数据孤岛、数据质量等问题，制定数据治理方案并组织落实；负责公司数据架构规划、设计及持续改进，负责协同业务部门完成数据资产目录、数据标准及编码、数据模型及数据分布流向设计，统筹企业内外部各类应用系统的数据集成交互，保障企业数据贯通；负责公司数据平台建设，负责平台相关数据分析、设计、开发、推广、维护等工作；负责公司数据指标体系建设，负责根据业务管理目标组织制定数据解决方案，指导各类数据分析应用建设；完成上级交办的其他工作。</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计算机、工程管理、信息系统管理、管理科学与工程等相关专业；具有5年及以上数据治理从业经验，熟悉数据仓库模型设计，有相关模型设计经验，掌握hadoop、hive、spark等大数据框架原理及应用；具有企业级数据管理和治理实施经验，具有基金行业数据治理经验者优先；具有java开发经验，能够熟悉常用的微服务框架和springCloud、Dubbo框架者优先；通过基金从业资格考试，具有基金从业资格者优先；熟悉工程项目管理流程，并具备相关信息化建设及数据管理知识；具备良好的分析能力，擅长信息整合与提炼，具备较好的沟通能力，风控合规意识强，无任何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lang w:val="en-US" w:eastAsia="zh-CN"/>
              </w:rPr>
              <w:t>3</w:t>
            </w:r>
          </w:p>
        </w:tc>
        <w:tc>
          <w:tcPr>
            <w:tcW w:w="947"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英大资本</w:t>
            </w:r>
          </w:p>
          <w:p>
            <w:pPr>
              <w:widowControl/>
              <w:spacing w:line="300" w:lineRule="exact"/>
              <w:jc w:val="center"/>
              <w:textAlignment w:val="center"/>
              <w:rPr>
                <w:rFonts w:ascii="方正仿宋_GBK" w:hAnsi="方正仿宋_GB2312" w:eastAsia="方正仿宋_GBK" w:cs="方正仿宋_GB2312"/>
                <w:color w:val="000000"/>
                <w:sz w:val="24"/>
                <w:szCs w:val="24"/>
              </w:rPr>
            </w:pPr>
            <w:bookmarkStart w:id="0" w:name="_GoBack"/>
            <w:bookmarkEnd w:id="0"/>
            <w:r>
              <w:rPr>
                <w:rFonts w:hint="eastAsia" w:ascii="方正仿宋_GBK" w:hAnsi="方正仿宋_GB2312" w:eastAsia="方正仿宋_GBK" w:cs="方正仿宋_GB2312"/>
                <w:color w:val="000000"/>
                <w:kern w:val="0"/>
                <w:sz w:val="24"/>
                <w:szCs w:val="24"/>
              </w:rPr>
              <w:t>风险合规部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风险控制岗</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sz w:val="24"/>
                <w:szCs w:val="24"/>
              </w:rPr>
              <w:t>2</w:t>
            </w:r>
          </w:p>
        </w:tc>
        <w:tc>
          <w:tcPr>
            <w:tcW w:w="6628"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拟订风险偏好和风险限额，制定《风险控制制度》、《投后管理办法》等风险管理制度，持续改进风险管理手段和方法；建立交易对手准入制度，明确交易对手准入标准。据业务发展战略及风险偏好，对业务范围实施清单化管理，建立健全增信措施准入机制，加强风险源头控制；监督项目立项决策流程，对项目运作风险的动态监测分析，保障程序依法合规；定期组织开展风险识别、监测、计量、评估，针对项目运作以及经营管理中的风险隐患，及时进行风险提示；参与处置风险项目，针对严重违规行为及重大风险事件，及时组织召开风险控制委员会会议拟订解决方案，待提请决策机构审定后组织实施；按照重大事项报告机制，及时向部门负责人报告有关事项，提出应对建议；定期或不定期组织召开风险控制委员会会议；完成上级交办的其他工作。</w:t>
            </w:r>
          </w:p>
        </w:tc>
        <w:tc>
          <w:tcPr>
            <w:tcW w:w="6025"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法律、财务、金融、投资相关专业；具有3年以上相关工作经验，熟悉资产管理相关业务；FRM、律师、注册会计师优先；通过基金从业资格考试，具有基金从业资格者优先；具有会计师事务所、律师事务所资管业务项目尽调工作经验或具有金融机构资管业务承做工作经验或具有金融机构风险控制相关、风险处置相关工作经验；  抗压能力强，具有团队合作精神，风控合规意识强，无任何不良记录。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lang w:val="en-US" w:eastAsia="zh-CN"/>
              </w:rPr>
              <w:t>4</w:t>
            </w:r>
          </w:p>
        </w:tc>
        <w:tc>
          <w:tcPr>
            <w:tcW w:w="947" w:type="dxa"/>
            <w:shd w:val="clear" w:color="auto" w:fill="auto"/>
            <w:noWrap/>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英大资本</w:t>
            </w:r>
          </w:p>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风险合规部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法务合规岗</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sz w:val="24"/>
                <w:szCs w:val="24"/>
              </w:rPr>
              <w:t>1</w:t>
            </w:r>
          </w:p>
        </w:tc>
        <w:tc>
          <w:tcPr>
            <w:tcW w:w="6628"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制订和执行合规管理制度，围绕公司运营和项目运作，开展合规监测、合规宣传、合规培训、合规审查等，强化全员合规意识，防控合规风险；组织建立健全内部规章制度体系，编制作业手册，不断规范业务流程；审核内部规章制度、重大决策、新产品、新业务方案等重大管理事项的合规性；组织开展合规自查自纠，及时消除合规风险隐患；与监管机构建立常态联系机制，持续跟踪监管动态，对接并组织落实监管要求，及时向监管机构反馈相关情况；按照部门职责分工，定期或不定期向监管机构、行业协会、上级单位报送相关报告报表及资料文件；协同处置风险项目以及信访举报和投诉事宜；审核业务宣传推介材料、各类合同协议、函件、对外报送或披露信息的合规性；为公司治理、增资扩股、股权转让、招投标等重大经济活动提供法律合规支持；处理或委托律师事务所处理诉讼、仲裁等法律事务；选聘和管理常年法律顾问，为公司提供法律咨询、起草法律文件、出具法律意见书等服务；建立健全反洗钱内部控制制度体系，组织落实客户身份识别义务以及投资者适当性管理义务，监测和上报可疑交易；开展非居民金融账户涉税信息尽职调查并报送相关信息；完成上级交办的其他工作。</w:t>
            </w:r>
          </w:p>
        </w:tc>
        <w:tc>
          <w:tcPr>
            <w:tcW w:w="6025"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法律等相关专业；具有3年以上基金子公司合规管理工作经验，熟悉基金子公司合规管理体系，熟悉资管业务相关法律法规；有律师事务所资管业务项目尽调工作经验优先；通过基金从业资格考试，具有基金从业资格者优先；具有高度的敬业精神、责任心，具有团队合作精神，风控合规意识强，无任何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lang w:eastAsia="zh-CN"/>
              </w:rPr>
            </w:pPr>
            <w:r>
              <w:rPr>
                <w:rFonts w:hint="eastAsia" w:ascii="方正仿宋_GBK" w:hAnsi="方正仿宋_GB2312" w:eastAsia="方正仿宋_GBK" w:cs="方正仿宋_GB2312"/>
                <w:color w:val="000000"/>
                <w:kern w:val="0"/>
                <w:sz w:val="24"/>
                <w:szCs w:val="24"/>
                <w:lang w:val="en-US" w:eastAsia="zh-CN"/>
              </w:rPr>
              <w:t>5</w:t>
            </w:r>
          </w:p>
        </w:tc>
        <w:tc>
          <w:tcPr>
            <w:tcW w:w="947" w:type="dxa"/>
            <w:shd w:val="clear" w:color="auto" w:fill="auto"/>
            <w:vAlign w:val="center"/>
          </w:tcPr>
          <w:p>
            <w:pPr>
              <w:widowControl/>
              <w:tabs>
                <w:tab w:val="left" w:pos="389"/>
              </w:tabs>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英大资本</w:t>
            </w:r>
          </w:p>
          <w:p>
            <w:pPr>
              <w:widowControl/>
              <w:tabs>
                <w:tab w:val="left" w:pos="389"/>
              </w:tabs>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投行部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项目经理（能源行业研究方向）</w:t>
            </w:r>
          </w:p>
        </w:tc>
        <w:tc>
          <w:tcPr>
            <w:tcW w:w="562"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sz w:val="24"/>
                <w:szCs w:val="24"/>
              </w:rPr>
              <w:t>1</w:t>
            </w:r>
          </w:p>
        </w:tc>
        <w:tc>
          <w:tcPr>
            <w:tcW w:w="6628"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国内外光伏、风电、储能等新能源相关领域开展行业研究，收集、整理和分析行业信息及数据；建立行业及公司分析框架，独立撰写行业研究报告及公司分析报告，提出投资建议；按照公司要求，及时发现市场热点，并寻找到合适投资标的，撰写投资研究报告；负责研究资料与数据的收集与整理、模型搭建等工作；完成上级交办的其他工作。</w:t>
            </w:r>
          </w:p>
        </w:tc>
        <w:tc>
          <w:tcPr>
            <w:tcW w:w="6025"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理工科专业背景、复合背景优先；具有3年及以上相关行业研究经验，对电力设备、新能源等行业有深刻理解，已经建立完善的研究框架；通过基金从业资格考试，具有基金从业资格者优先；有一定的风险分析能力，并具备一定的风险防控意识；具有良好的沟通能力、责任心和使命感，抗压能力强，具有团队合作精神；学习能力强，洞察、决策和分析能力强，有出色的逻辑思维及推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404" w:type="dxa"/>
            <w:gridSpan w:val="3"/>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b/>
                <w:bCs/>
                <w:color w:val="000000"/>
                <w:kern w:val="0"/>
                <w:sz w:val="24"/>
                <w:szCs w:val="24"/>
              </w:rPr>
              <w:t>合计</w:t>
            </w:r>
          </w:p>
        </w:tc>
        <w:tc>
          <w:tcPr>
            <w:tcW w:w="13215" w:type="dxa"/>
            <w:gridSpan w:val="3"/>
            <w:shd w:val="clear" w:color="auto" w:fill="auto"/>
            <w:noWrap/>
            <w:vAlign w:val="center"/>
          </w:tcPr>
          <w:p>
            <w:pPr>
              <w:spacing w:line="300" w:lineRule="exact"/>
              <w:jc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color w:val="000000"/>
                <w:sz w:val="24"/>
                <w:szCs w:val="24"/>
              </w:rPr>
              <w:t>共</w:t>
            </w:r>
            <w:r>
              <w:rPr>
                <w:rFonts w:hint="eastAsia" w:ascii="方正仿宋_GBK" w:hAnsi="方正仿宋_GB2312" w:eastAsia="方正仿宋_GBK" w:cs="方正仿宋_GB2312"/>
                <w:color w:val="000000"/>
                <w:sz w:val="24"/>
                <w:szCs w:val="24"/>
                <w:lang w:val="en-US" w:eastAsia="zh-CN"/>
              </w:rPr>
              <w:t>6</w:t>
            </w:r>
            <w:r>
              <w:rPr>
                <w:rFonts w:hint="eastAsia" w:ascii="方正仿宋_GBK" w:hAnsi="方正仿宋_GB2312" w:eastAsia="方正仿宋_GBK" w:cs="方正仿宋_GB2312"/>
                <w:color w:val="000000"/>
                <w:sz w:val="24"/>
                <w:szCs w:val="24"/>
              </w:rPr>
              <w:t>人</w:t>
            </w:r>
          </w:p>
        </w:tc>
      </w:tr>
    </w:tbl>
    <w:p/>
    <w:p/>
    <w:p/>
    <w:p/>
    <w:p/>
    <w:p/>
    <w:p/>
    <w:p/>
    <w:p/>
    <w:p/>
    <w:p/>
    <w:p/>
    <w:p/>
    <w:p/>
    <w:p/>
    <w:p/>
    <w:tbl>
      <w:tblPr>
        <w:tblStyle w:val="5"/>
        <w:tblW w:w="15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4"/>
        <w:gridCol w:w="947"/>
        <w:gridCol w:w="913"/>
        <w:gridCol w:w="550"/>
        <w:gridCol w:w="6640"/>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exact"/>
          <w:jc w:val="center"/>
        </w:trPr>
        <w:tc>
          <w:tcPr>
            <w:tcW w:w="15619" w:type="dxa"/>
            <w:gridSpan w:val="6"/>
            <w:shd w:val="clear" w:color="auto" w:fill="auto"/>
            <w:vAlign w:val="center"/>
          </w:tcPr>
          <w:p>
            <w:pPr>
              <w:widowControl/>
              <w:spacing w:line="300" w:lineRule="exact"/>
              <w:jc w:val="left"/>
              <w:textAlignment w:val="center"/>
              <w:rPr>
                <w:rFonts w:hint="eastAsia" w:ascii="方正仿宋_GBK" w:hAnsi="方正仿宋_GB2312" w:eastAsia="方正仿宋_GBK" w:cs="方正仿宋_GB2312"/>
                <w:b/>
                <w:bCs/>
                <w:color w:val="000000"/>
                <w:sz w:val="24"/>
                <w:szCs w:val="24"/>
                <w:highlight w:val="none"/>
                <w:lang w:eastAsia="zh-CN"/>
              </w:rPr>
            </w:pPr>
            <w:r>
              <w:rPr>
                <w:rFonts w:hint="eastAsia" w:ascii="方正仿宋_GBK" w:hAnsi="方正仿宋_GB2312" w:eastAsia="方正仿宋_GBK" w:cs="方正仿宋_GB2312"/>
                <w:b/>
                <w:bCs/>
                <w:color w:val="000000"/>
                <w:sz w:val="24"/>
                <w:szCs w:val="24"/>
                <w:highlight w:val="none"/>
                <w:lang w:eastAsia="zh-CN"/>
              </w:rPr>
              <w:t>国网英大产业投资基金管理有限公司：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序号</w:t>
            </w:r>
          </w:p>
        </w:tc>
        <w:tc>
          <w:tcPr>
            <w:tcW w:w="947"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部门</w:t>
            </w: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岗位名称</w:t>
            </w:r>
          </w:p>
        </w:tc>
        <w:tc>
          <w:tcPr>
            <w:tcW w:w="550"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人数</w:t>
            </w:r>
          </w:p>
        </w:tc>
        <w:tc>
          <w:tcPr>
            <w:tcW w:w="6640"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岗位职责</w:t>
            </w:r>
          </w:p>
        </w:tc>
        <w:tc>
          <w:tcPr>
            <w:tcW w:w="6025"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b/>
                <w:bCs/>
                <w:color w:val="000000"/>
                <w:kern w:val="0"/>
                <w:sz w:val="24"/>
                <w:szCs w:val="24"/>
                <w:highlight w:val="none"/>
              </w:rPr>
            </w:pPr>
            <w:r>
              <w:rPr>
                <w:rFonts w:hint="eastAsia" w:ascii="方正仿宋_GBK" w:hAnsi="方正仿宋_GB2312" w:eastAsia="方正仿宋_GBK" w:cs="方正仿宋_GB2312"/>
                <w:b/>
                <w:bCs/>
                <w:color w:val="000000"/>
                <w:kern w:val="0"/>
                <w:sz w:val="24"/>
                <w:szCs w:val="24"/>
                <w:highlight w:val="none"/>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1</w:t>
            </w:r>
          </w:p>
        </w:tc>
        <w:tc>
          <w:tcPr>
            <w:tcW w:w="947"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eastAsia="zh-CN"/>
              </w:rPr>
            </w:pPr>
            <w:r>
              <w:rPr>
                <w:rFonts w:hint="eastAsia" w:ascii="方正仿宋_GBK" w:hAnsi="方正仿宋_GB2312" w:eastAsia="方正仿宋_GBK" w:cs="方正仿宋_GB2312"/>
                <w:color w:val="000000"/>
                <w:sz w:val="24"/>
                <w:szCs w:val="24"/>
                <w:highlight w:val="none"/>
                <w:lang w:val="en-US" w:eastAsia="zh-CN"/>
              </w:rPr>
              <w:t>资金募集部</w:t>
            </w: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资金募集岗</w:t>
            </w:r>
          </w:p>
        </w:tc>
        <w:tc>
          <w:tcPr>
            <w:tcW w:w="550" w:type="dxa"/>
            <w:shd w:val="clear" w:color="auto" w:fill="auto"/>
            <w:vAlign w:val="center"/>
          </w:tcPr>
          <w:p>
            <w:pPr>
              <w:widowControl/>
              <w:spacing w:line="300" w:lineRule="exact"/>
              <w:jc w:val="center"/>
              <w:textAlignment w:val="center"/>
              <w:rPr>
                <w:rFonts w:hint="default"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1</w:t>
            </w:r>
          </w:p>
        </w:tc>
        <w:tc>
          <w:tcPr>
            <w:tcW w:w="6640"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配合编制和执行战略和产业类基金资金募集计划及方案，实施募资方案；负责资金市场信息采集分析，市场化资金渠道研究以及相关募资材料编制；负责地方政府政策、引导基金、集体企业等出资渠道研究，完成募资材料编制；负责组织设计地方政府引导基金、政府相关部门、国网系统产研单位、保险银行、市场化母基金、上市公司及民营企业等金融机构及市场机构投资者关系维护等机构合作及投资者关系管理；组织项目路演、专项沟通、论坛等活动、广泛建立募资渠道以及募资信息库的编制和维护。</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财务、经济、金融、能源电力相关领域专业；有投资、资金管理相关知识；有CPA、CFA、FRM、基金从业资格者优先；有良好的沟通能力。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2</w:t>
            </w:r>
          </w:p>
        </w:tc>
        <w:tc>
          <w:tcPr>
            <w:tcW w:w="947"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eastAsia="zh-CN"/>
              </w:rPr>
            </w:pPr>
            <w:r>
              <w:rPr>
                <w:rFonts w:hint="eastAsia" w:ascii="方正仿宋_GBK" w:hAnsi="方正仿宋_GB2312" w:eastAsia="方正仿宋_GBK" w:cs="方正仿宋_GB2312"/>
                <w:color w:val="000000"/>
                <w:sz w:val="24"/>
                <w:szCs w:val="24"/>
                <w:highlight w:val="none"/>
                <w:lang w:val="en-US" w:eastAsia="zh-CN"/>
              </w:rPr>
              <w:t>投资管理部</w:t>
            </w: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投资管理岗</w:t>
            </w:r>
          </w:p>
        </w:tc>
        <w:tc>
          <w:tcPr>
            <w:tcW w:w="550" w:type="dxa"/>
            <w:shd w:val="clear" w:color="auto" w:fill="auto"/>
            <w:vAlign w:val="center"/>
          </w:tcPr>
          <w:p>
            <w:pPr>
              <w:widowControl/>
              <w:spacing w:line="300" w:lineRule="exact"/>
              <w:jc w:val="center"/>
              <w:textAlignment w:val="center"/>
              <w:rPr>
                <w:rFonts w:hint="default"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1</w:t>
            </w:r>
          </w:p>
        </w:tc>
        <w:tc>
          <w:tcPr>
            <w:tcW w:w="6640"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负责项目的搜寻、尽职调查、可行性分析和评估；负责基金方案的设计、基金设立的立项、投决以及基金的运营管理工作；负责项目初审管理工作，包括根据投资项目的尽调结果，提出项目审查初步意见及募资相关建议、提请相关决策；组织对已投资股权情况进行跟踪，定期或不定期进行评估，分析具体风险；负责公司内部项目会议和基金投委会决策的实施与执行；负责已投资股权的投后管理工作；负责已投资股权转让、退出等投资事项的具体实施。</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财务、经济、金融、能源电力相关领域专业；有投资、资金管理相关知识，有CPA、CFA、FRM、基金从业资格、评估师资格证者优先；有良好的沟通能力。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25" w:hRule="atLeast"/>
          <w:jc w:val="center"/>
        </w:trPr>
        <w:tc>
          <w:tcPr>
            <w:tcW w:w="544"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eastAsia="zh-CN"/>
              </w:rPr>
            </w:pPr>
            <w:r>
              <w:rPr>
                <w:rFonts w:hint="eastAsia" w:ascii="方正仿宋_GBK" w:hAnsi="方正仿宋_GB2312" w:eastAsia="方正仿宋_GBK" w:cs="方正仿宋_GB2312"/>
                <w:color w:val="000000"/>
                <w:kern w:val="0"/>
                <w:sz w:val="24"/>
                <w:szCs w:val="24"/>
                <w:highlight w:val="none"/>
                <w:lang w:val="en-US" w:eastAsia="zh-CN"/>
              </w:rPr>
              <w:t>3</w:t>
            </w:r>
          </w:p>
        </w:tc>
        <w:tc>
          <w:tcPr>
            <w:tcW w:w="947" w:type="dxa"/>
            <w:vMerge w:val="restart"/>
            <w:shd w:val="clear" w:color="auto" w:fill="auto"/>
            <w:noWrap/>
            <w:vAlign w:val="center"/>
          </w:tcPr>
          <w:p>
            <w:pPr>
              <w:widowControl/>
              <w:spacing w:line="300" w:lineRule="exact"/>
              <w:jc w:val="center"/>
              <w:textAlignment w:val="center"/>
              <w:rPr>
                <w:rFonts w:ascii="方正仿宋_GBK" w:hAnsi="方正仿宋_GB2312" w:eastAsia="方正仿宋_GBK" w:cs="方正仿宋_GB2312"/>
                <w:color w:val="000000"/>
                <w:sz w:val="24"/>
                <w:szCs w:val="24"/>
                <w:highlight w:val="none"/>
              </w:rPr>
            </w:pPr>
            <w:r>
              <w:rPr>
                <w:rFonts w:hint="eastAsia" w:ascii="方正仿宋_GBK" w:hAnsi="方正仿宋_GB2312" w:eastAsia="方正仿宋_GBK" w:cs="方正仿宋_GB2312"/>
                <w:color w:val="000000"/>
                <w:sz w:val="24"/>
                <w:szCs w:val="24"/>
                <w:highlight w:val="none"/>
              </w:rPr>
              <w:t>风控合规部</w:t>
            </w: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部门负责人（副职）</w:t>
            </w:r>
          </w:p>
        </w:tc>
        <w:tc>
          <w:tcPr>
            <w:tcW w:w="550" w:type="dxa"/>
            <w:vMerge w:val="restart"/>
            <w:shd w:val="clear" w:color="auto" w:fill="auto"/>
            <w:vAlign w:val="center"/>
          </w:tcPr>
          <w:p>
            <w:pPr>
              <w:widowControl/>
              <w:spacing w:line="300" w:lineRule="exact"/>
              <w:jc w:val="center"/>
              <w:textAlignment w:val="center"/>
              <w:rPr>
                <w:rFonts w:hint="default"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1</w:t>
            </w:r>
          </w:p>
        </w:tc>
        <w:tc>
          <w:tcPr>
            <w:tcW w:w="6640"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负责组织公司风险管理体系的建设规划研究；负责完善公司风险管理体系；负责组织私募基金及投资项目的风险识别、评估、监测、应对；负责组织风控团队配合业务部门完成风险项目的处置；负责公司日常业务的风险管理；负责对公司其他部门风控管理工作提供咨询、建议并监督。</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风险、金融等相关专业；具有5年以上相关工作经历，1年以上对应职务层级管理工作经历；熟悉基金行业监管制度体系及私募股权基金风险管理，熟悉国有企业风险和内控管理要求；具备法律职业资格者优先。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544" w:type="dxa"/>
            <w:shd w:val="clear" w:color="auto" w:fill="auto"/>
            <w:vAlign w:val="center"/>
          </w:tcPr>
          <w:p>
            <w:pPr>
              <w:widowControl/>
              <w:spacing w:line="300" w:lineRule="exact"/>
              <w:jc w:val="center"/>
              <w:textAlignment w:val="center"/>
              <w:rPr>
                <w:rFonts w:hint="default"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4</w:t>
            </w:r>
          </w:p>
        </w:tc>
        <w:tc>
          <w:tcPr>
            <w:tcW w:w="947" w:type="dxa"/>
            <w:vMerge w:val="continue"/>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highlight w:val="none"/>
              </w:rPr>
            </w:pP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风险管理岗</w:t>
            </w:r>
          </w:p>
        </w:tc>
        <w:tc>
          <w:tcPr>
            <w:tcW w:w="550" w:type="dxa"/>
            <w:vMerge w:val="continue"/>
            <w:tcBorders/>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val="en-US" w:eastAsia="zh-CN"/>
              </w:rPr>
            </w:pPr>
          </w:p>
        </w:tc>
        <w:tc>
          <w:tcPr>
            <w:tcW w:w="6640"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负责公司风险管理体系建设规划研究；负责完善公司风险管理体系；负责私募基金及投资项目风险识别、评估、监测、应对；配合业务部门完成风险项目的处置；参与公司日常业务的风险管理；负责对公司其他部门风控管理工作提供咨询、建议并监督。</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风险、金融等相关专业；具有3年以上相关岗位工作经验；熟悉基金行业监管制度体系及私募股权基金风险管理，熟悉国有企业风险和内控管理要求；具备法律职业资格者优先。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77" w:hRule="atLeast"/>
          <w:jc w:val="center"/>
        </w:trPr>
        <w:tc>
          <w:tcPr>
            <w:tcW w:w="544" w:type="dxa"/>
            <w:shd w:val="clear" w:color="auto" w:fill="auto"/>
            <w:vAlign w:val="center"/>
          </w:tcPr>
          <w:p>
            <w:pPr>
              <w:widowControl/>
              <w:spacing w:line="300" w:lineRule="exact"/>
              <w:jc w:val="center"/>
              <w:textAlignment w:val="center"/>
              <w:rPr>
                <w:rFonts w:hint="default"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5</w:t>
            </w:r>
          </w:p>
        </w:tc>
        <w:tc>
          <w:tcPr>
            <w:tcW w:w="947"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综合管理部</w:t>
            </w:r>
          </w:p>
        </w:tc>
        <w:tc>
          <w:tcPr>
            <w:tcW w:w="913"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highlight w:val="none"/>
                <w:lang w:val="en-US" w:eastAsia="zh-CN"/>
              </w:rPr>
            </w:pPr>
            <w:r>
              <w:rPr>
                <w:rFonts w:hint="eastAsia" w:ascii="方正仿宋_GBK" w:hAnsi="方正仿宋_GB2312" w:eastAsia="方正仿宋_GBK" w:cs="方正仿宋_GB2312"/>
                <w:color w:val="000000"/>
                <w:kern w:val="0"/>
                <w:sz w:val="24"/>
                <w:szCs w:val="24"/>
                <w:highlight w:val="none"/>
                <w:lang w:val="en-US" w:eastAsia="zh-CN"/>
              </w:rPr>
              <w:t>综合财务岗</w:t>
            </w:r>
          </w:p>
        </w:tc>
        <w:tc>
          <w:tcPr>
            <w:tcW w:w="550" w:type="dxa"/>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sz w:val="24"/>
                <w:szCs w:val="24"/>
                <w:highlight w:val="none"/>
                <w:lang w:val="en-US" w:eastAsia="zh-CN"/>
              </w:rPr>
            </w:pPr>
            <w:r>
              <w:rPr>
                <w:rFonts w:hint="eastAsia" w:ascii="方正仿宋_GBK" w:hAnsi="方正仿宋_GB2312" w:eastAsia="方正仿宋_GBK" w:cs="方正仿宋_GB2312"/>
                <w:color w:val="000000"/>
                <w:sz w:val="24"/>
                <w:szCs w:val="24"/>
                <w:highlight w:val="none"/>
                <w:lang w:val="en-US" w:eastAsia="zh-CN"/>
              </w:rPr>
              <w:t>1</w:t>
            </w:r>
          </w:p>
        </w:tc>
        <w:tc>
          <w:tcPr>
            <w:tcW w:w="6640"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负责对会计核算相关工作进行复核审核；负责公司税务管理；负责公司资金管理及资金收支工作；负责公司内外部财务迎审、迎检等工作；参与公司财务管理体系研究及制度建设等；参与对基金财务的专业管理，监督、指导基金财务工作；参与对公司经营管理、基金设立、项目投资等方面提供财务决策支持。</w:t>
            </w:r>
          </w:p>
        </w:tc>
        <w:tc>
          <w:tcPr>
            <w:tcW w:w="6025" w:type="dxa"/>
            <w:shd w:val="clear" w:color="auto" w:fill="auto"/>
            <w:vAlign w:val="center"/>
          </w:tcPr>
          <w:p>
            <w:pPr>
              <w:widowControl/>
              <w:spacing w:line="300" w:lineRule="exact"/>
              <w:textAlignment w:val="center"/>
              <w:rPr>
                <w:rFonts w:hint="eastAsia" w:ascii="方正仿宋_GBK" w:hAnsi="方正仿宋_GB2312" w:eastAsia="方正仿宋_GBK" w:cs="方正仿宋_GB2312"/>
                <w:color w:val="000000"/>
                <w:kern w:val="0"/>
                <w:sz w:val="24"/>
                <w:szCs w:val="24"/>
                <w:highlight w:val="none"/>
              </w:rPr>
            </w:pPr>
            <w:r>
              <w:rPr>
                <w:rFonts w:hint="eastAsia" w:ascii="方正仿宋_GBK" w:hAnsi="方正仿宋_GB2312" w:eastAsia="方正仿宋_GBK" w:cs="方正仿宋_GB2312"/>
                <w:color w:val="000000"/>
                <w:kern w:val="0"/>
                <w:sz w:val="24"/>
                <w:szCs w:val="24"/>
                <w:highlight w:val="none"/>
                <w:lang w:val="en-US" w:eastAsia="zh-CN"/>
              </w:rPr>
              <w:t>财务会计、经济、金融等相关专业；具有3年以上会计核算、税收筹划、财务分析等财务工作经验，具备私募股权基金公司财务工作经验优先；熟悉会计核算、税收筹划等制度及工作流程；具备基金从业资格优先，有CPA、CFA、FRM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404" w:type="dxa"/>
            <w:gridSpan w:val="3"/>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sz w:val="24"/>
                <w:szCs w:val="24"/>
                <w:highlight w:val="none"/>
              </w:rPr>
            </w:pPr>
            <w:r>
              <w:rPr>
                <w:rFonts w:hint="eastAsia" w:ascii="方正仿宋_GBK" w:hAnsi="方正仿宋_GB2312" w:eastAsia="方正仿宋_GBK" w:cs="方正仿宋_GB2312"/>
                <w:b/>
                <w:bCs/>
                <w:color w:val="000000"/>
                <w:kern w:val="0"/>
                <w:sz w:val="24"/>
                <w:szCs w:val="24"/>
                <w:highlight w:val="none"/>
              </w:rPr>
              <w:t>合计</w:t>
            </w:r>
          </w:p>
        </w:tc>
        <w:tc>
          <w:tcPr>
            <w:tcW w:w="13215" w:type="dxa"/>
            <w:gridSpan w:val="3"/>
            <w:shd w:val="clear" w:color="auto" w:fill="auto"/>
            <w:noWrap/>
            <w:vAlign w:val="center"/>
          </w:tcPr>
          <w:p>
            <w:pPr>
              <w:spacing w:line="300" w:lineRule="exact"/>
              <w:jc w:val="center"/>
              <w:rPr>
                <w:rFonts w:ascii="方正仿宋_GBK" w:hAnsi="方正仿宋_GB2312" w:eastAsia="方正仿宋_GBK" w:cs="方正仿宋_GB2312"/>
                <w:b/>
                <w:bCs/>
                <w:color w:val="000000"/>
                <w:sz w:val="24"/>
                <w:szCs w:val="24"/>
                <w:highlight w:val="none"/>
              </w:rPr>
            </w:pPr>
            <w:r>
              <w:rPr>
                <w:rFonts w:hint="eastAsia" w:ascii="方正仿宋_GBK" w:hAnsi="方正仿宋_GB2312" w:eastAsia="方正仿宋_GBK" w:cs="方正仿宋_GB2312"/>
                <w:b w:val="0"/>
                <w:bCs w:val="0"/>
                <w:color w:val="000000"/>
                <w:sz w:val="24"/>
                <w:szCs w:val="24"/>
                <w:highlight w:val="none"/>
                <w:lang w:val="en-US" w:eastAsia="zh-CN"/>
              </w:rPr>
              <w:t>共4人</w:t>
            </w:r>
          </w:p>
        </w:tc>
      </w:tr>
    </w:tbl>
    <w:p/>
    <w:p/>
    <w:p/>
    <w:p/>
    <w:p/>
    <w:p/>
    <w:p/>
    <w:p/>
    <w:p/>
    <w:p/>
    <w:p/>
    <w:p/>
    <w:p/>
    <w:p/>
    <w:tbl>
      <w:tblPr>
        <w:tblStyle w:val="5"/>
        <w:tblW w:w="15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946"/>
        <w:gridCol w:w="913"/>
        <w:gridCol w:w="546"/>
        <w:gridCol w:w="6641"/>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619" w:type="dxa"/>
            <w:gridSpan w:val="6"/>
            <w:shd w:val="clear" w:color="auto" w:fill="auto"/>
            <w:vAlign w:val="center"/>
          </w:tcPr>
          <w:p>
            <w:pPr>
              <w:widowControl/>
              <w:spacing w:line="300" w:lineRule="exact"/>
              <w:jc w:val="left"/>
              <w:textAlignment w:val="center"/>
              <w:rPr>
                <w:rFonts w:ascii="方正仿宋_GBK" w:hAnsi="方正仿宋_GB2312" w:eastAsia="方正仿宋_GBK" w:cs="方正仿宋_GB2312"/>
                <w:b/>
                <w:bCs/>
                <w:color w:val="000000"/>
                <w:sz w:val="24"/>
                <w:szCs w:val="24"/>
              </w:rPr>
            </w:pPr>
            <w:r>
              <w:rPr>
                <w:rFonts w:hint="eastAsia" w:ascii="方正仿宋_GBK" w:hAnsi="方正仿宋_GB2312" w:eastAsia="方正仿宋_GBK" w:cs="方正仿宋_GB2312"/>
                <w:b/>
                <w:bCs/>
                <w:color w:val="000000"/>
                <w:sz w:val="24"/>
                <w:szCs w:val="24"/>
              </w:rPr>
              <w:t>国网英大碳资产管理（上海）有限公司：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序号</w:t>
            </w:r>
          </w:p>
        </w:tc>
        <w:tc>
          <w:tcPr>
            <w:tcW w:w="9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部门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岗位名称</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人数</w:t>
            </w:r>
          </w:p>
        </w:tc>
        <w:tc>
          <w:tcPr>
            <w:tcW w:w="6641"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岗位职责</w:t>
            </w:r>
          </w:p>
        </w:tc>
        <w:tc>
          <w:tcPr>
            <w:tcW w:w="6029" w:type="dxa"/>
            <w:shd w:val="clear" w:color="auto" w:fill="auto"/>
            <w:vAlign w:val="center"/>
          </w:tcPr>
          <w:p>
            <w:pPr>
              <w:widowControl/>
              <w:spacing w:line="300" w:lineRule="exact"/>
              <w:jc w:val="center"/>
              <w:textAlignment w:val="center"/>
              <w:rPr>
                <w:rFonts w:ascii="方正仿宋_GBK" w:hAnsi="方正仿宋_GB2312" w:eastAsia="方正仿宋_GBK" w:cs="方正仿宋_GB2312"/>
                <w:b/>
                <w:bCs/>
                <w:color w:val="000000"/>
                <w:kern w:val="0"/>
                <w:sz w:val="24"/>
                <w:szCs w:val="24"/>
              </w:rPr>
            </w:pPr>
            <w:r>
              <w:rPr>
                <w:rFonts w:hint="eastAsia" w:ascii="方正仿宋_GBK" w:hAnsi="方正仿宋_GB2312" w:eastAsia="方正仿宋_GBK" w:cs="方正仿宋_GB2312"/>
                <w:b/>
                <w:bCs/>
                <w:color w:val="000000"/>
                <w:kern w:val="0"/>
                <w:sz w:val="24"/>
                <w:szCs w:val="24"/>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1</w:t>
            </w:r>
          </w:p>
        </w:tc>
        <w:tc>
          <w:tcPr>
            <w:tcW w:w="946" w:type="dxa"/>
            <w:vMerge w:val="restart"/>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公司</w:t>
            </w:r>
          </w:p>
          <w:p>
            <w:pPr>
              <w:widowControl/>
              <w:spacing w:line="300" w:lineRule="exact"/>
              <w:jc w:val="center"/>
              <w:textAlignment w:val="center"/>
              <w:rPr>
                <w:rFonts w:hint="eastAsia" w:ascii="方正仿宋_GBK" w:hAnsi="方正仿宋_GB2312" w:eastAsia="方正仿宋_GBK" w:cs="方正仿宋_GB2312"/>
                <w:color w:val="000000"/>
                <w:kern w:val="0"/>
                <w:sz w:val="24"/>
                <w:szCs w:val="24"/>
                <w:lang w:eastAsia="zh-CN"/>
              </w:rPr>
            </w:pPr>
            <w:r>
              <w:rPr>
                <w:rFonts w:hint="eastAsia" w:ascii="方正仿宋_GBK" w:hAnsi="方正仿宋_GB2312" w:eastAsia="方正仿宋_GBK" w:cs="方正仿宋_GB2312"/>
                <w:color w:val="000000"/>
                <w:kern w:val="0"/>
                <w:sz w:val="24"/>
                <w:szCs w:val="24"/>
                <w:lang w:eastAsia="zh-CN"/>
              </w:rPr>
              <w:t>高管</w:t>
            </w:r>
          </w:p>
        </w:tc>
        <w:tc>
          <w:tcPr>
            <w:tcW w:w="913" w:type="dxa"/>
            <w:shd w:val="clear" w:color="auto" w:fill="auto"/>
            <w:vAlign w:val="center"/>
          </w:tcPr>
          <w:p>
            <w:pPr>
              <w:widowControl/>
              <w:spacing w:line="300" w:lineRule="exact"/>
              <w:jc w:val="center"/>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市场总监</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hint="eastAsia" w:ascii="方正仿宋_GBK" w:hAnsi="宋体" w:eastAsia="方正仿宋_GBK"/>
                <w:color w:val="000000"/>
                <w:kern w:val="0"/>
                <w:sz w:val="24"/>
                <w:szCs w:val="24"/>
                <w:lang w:eastAsia="zh-CN"/>
              </w:rPr>
            </w:pPr>
            <w:r>
              <w:rPr>
                <w:rFonts w:hint="eastAsia" w:ascii="方正仿宋_GBK" w:hAnsi="宋体" w:eastAsia="方正仿宋_GBK"/>
                <w:color w:val="000000"/>
                <w:kern w:val="0"/>
                <w:sz w:val="24"/>
                <w:szCs w:val="24"/>
              </w:rPr>
              <w:t>负责协助落实集团“五统一”战略部署；组织销售团队深耕下沉电网市场，开展碳管理服务业务和产品的推广；通过整合电力数据、电网渠道、政府关系等优势资源，依托碳资产平台与属地资源，拓展产业链上下游碳市场服务空间</w:t>
            </w:r>
            <w:r>
              <w:rPr>
                <w:rFonts w:hint="eastAsia" w:ascii="方正仿宋_GBK" w:hAnsi="宋体" w:eastAsia="方正仿宋_GBK"/>
                <w:color w:val="000000"/>
                <w:kern w:val="0"/>
                <w:sz w:val="24"/>
                <w:szCs w:val="24"/>
                <w:lang w:eastAsia="zh-CN"/>
              </w:rPr>
              <w:t>。</w:t>
            </w:r>
          </w:p>
        </w:tc>
        <w:tc>
          <w:tcPr>
            <w:tcW w:w="6029" w:type="dxa"/>
            <w:shd w:val="clear" w:color="auto" w:fill="auto"/>
            <w:vAlign w:val="center"/>
          </w:tcPr>
          <w:p>
            <w:pPr>
              <w:widowControl/>
              <w:spacing w:line="300" w:lineRule="exact"/>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环境工程、能源、电力、金融、市场管理等相关专业；具备</w:t>
            </w:r>
            <w:r>
              <w:rPr>
                <w:rFonts w:ascii="方正仿宋_GBK" w:hAnsi="宋体" w:eastAsia="方正仿宋_GBK"/>
                <w:color w:val="000000"/>
                <w:kern w:val="0"/>
                <w:sz w:val="24"/>
                <w:szCs w:val="24"/>
              </w:rPr>
              <w:t>8</w:t>
            </w:r>
            <w:r>
              <w:rPr>
                <w:rFonts w:hint="eastAsia" w:ascii="方正仿宋_GBK" w:hAnsi="宋体" w:eastAsia="方正仿宋_GBK"/>
                <w:color w:val="000000"/>
                <w:kern w:val="0"/>
                <w:sz w:val="24"/>
                <w:szCs w:val="24"/>
              </w:rPr>
              <w:t>年以上营销、咨询工作经验、具备5年以上管理经验；拥有服务国家电网经验，熟悉电网企业的工作方式，具有面向电网的销售服务经验；具备团队组织带领能力，且对于碳业务开拓有资源整合意识与主动创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2</w:t>
            </w:r>
          </w:p>
        </w:tc>
        <w:tc>
          <w:tcPr>
            <w:tcW w:w="946" w:type="dxa"/>
            <w:vMerge w:val="continue"/>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p>
        </w:tc>
        <w:tc>
          <w:tcPr>
            <w:tcW w:w="913" w:type="dxa"/>
            <w:shd w:val="clear" w:color="auto" w:fill="auto"/>
            <w:vAlign w:val="center"/>
          </w:tcPr>
          <w:p>
            <w:pPr>
              <w:widowControl/>
              <w:spacing w:line="300" w:lineRule="exact"/>
              <w:jc w:val="center"/>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产品总监</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kern w:val="0"/>
                <w:sz w:val="24"/>
                <w:szCs w:val="24"/>
              </w:rPr>
            </w:pPr>
            <w:r>
              <w:rPr>
                <w:rFonts w:hint="eastAsia"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负责协助面向政府部委、国网总部等相关政策层面开展政策对接；带领团队结合市场需求，创设有利于公司业务发展、具备电网企业特点的碳管理服务产品。</w:t>
            </w:r>
          </w:p>
        </w:tc>
        <w:tc>
          <w:tcPr>
            <w:tcW w:w="6029" w:type="dxa"/>
            <w:shd w:val="clear" w:color="auto" w:fill="auto"/>
            <w:vAlign w:val="center"/>
          </w:tcPr>
          <w:p>
            <w:pPr>
              <w:widowControl/>
              <w:spacing w:line="300" w:lineRule="exact"/>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环境工程、能源、电力、金融、市场管理等相关专业；具备</w:t>
            </w:r>
            <w:r>
              <w:rPr>
                <w:rFonts w:ascii="方正仿宋_GBK" w:hAnsi="宋体" w:eastAsia="方正仿宋_GBK"/>
                <w:color w:val="000000"/>
                <w:kern w:val="0"/>
                <w:sz w:val="24"/>
                <w:szCs w:val="24"/>
              </w:rPr>
              <w:t>8</w:t>
            </w:r>
            <w:r>
              <w:rPr>
                <w:rFonts w:hint="eastAsia" w:ascii="方正仿宋_GBK" w:hAnsi="宋体" w:eastAsia="方正仿宋_GBK"/>
                <w:color w:val="000000"/>
                <w:kern w:val="0"/>
                <w:sz w:val="24"/>
                <w:szCs w:val="24"/>
              </w:rPr>
              <w:t>年以上产品开发工作经验、具备5年以上管理经验；具备环境领域背景，拥有服务电网经验，对双碳政策层面具有高度敏感性，能够带领团队并组织实施产品研发落地。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3</w:t>
            </w:r>
          </w:p>
        </w:tc>
        <w:tc>
          <w:tcPr>
            <w:tcW w:w="9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咨询服务中心</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营销经理</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2</w:t>
            </w:r>
          </w:p>
        </w:tc>
        <w:tc>
          <w:tcPr>
            <w:tcW w:w="6641"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负责集团化客户的业务开发、方案制定、合同签订和2</w:t>
            </w:r>
            <w:r>
              <w:rPr>
                <w:rFonts w:ascii="方正仿宋_GBK" w:hAnsi="宋体" w:eastAsia="方正仿宋_GBK"/>
                <w:color w:val="000000"/>
                <w:kern w:val="0"/>
                <w:sz w:val="24"/>
                <w:szCs w:val="24"/>
              </w:rPr>
              <w:t>.</w:t>
            </w:r>
            <w:r>
              <w:rPr>
                <w:rFonts w:hint="eastAsia" w:ascii="方正仿宋_GBK" w:hAnsi="宋体" w:eastAsia="方正仿宋_GBK"/>
                <w:color w:val="000000"/>
                <w:kern w:val="0"/>
                <w:sz w:val="24"/>
                <w:szCs w:val="24"/>
              </w:rPr>
              <w:t>客户关系维护与服务；负责协助客户编写相关汇报材料，协调做好支撑工作；深入挖掘客户需求，为公司研发产品迭代更新提供准确的市场信息；完成部门主任布置的工作任务。</w:t>
            </w:r>
          </w:p>
        </w:tc>
        <w:tc>
          <w:tcPr>
            <w:tcW w:w="6029"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环境工程、能源、电力、金融、市场管理等相关专业；具备5年以上营销、咨询工作经验；具备5年以上营销、咨询、能源、电力、环境产业工作经验或者碳审核、碳交易等低碳领域相关工作经验；拥有服务国家电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4</w:t>
            </w:r>
          </w:p>
        </w:tc>
        <w:tc>
          <w:tcPr>
            <w:tcW w:w="9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业务运营中心</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项目经理</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参与项目管理体系搭建、碳盘查、碳审核、碳排放数据分析及相关文件的编制；有效组织开展项目管理，包括项目计划、过程管理、质量的把控、落地执行、项目结项、信息收集与总结、报告编制等；负责碳资产相关项目评估、资料收集，设计文件、监测报告、申报文件等文件编制；负责客户需求管理，并协助市场团队维护客户关系，协助研发团队提供产品优化信息。</w:t>
            </w:r>
          </w:p>
        </w:tc>
        <w:tc>
          <w:tcPr>
            <w:tcW w:w="6029"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环境工程、能源、电力、金融、市场管理等相关专业；具有5年及以上行业相关工作经验，拥有服务国家电网经验优先；了解行业的相关政策及要求；善于建立良好的客户关系和合作关系，应变能力强；积极主动、团结协作；有一定的文档撰写能力；良好的客户服务意识和需求管理能力；能适应出差；拥有PMP项目管理资格认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5</w:t>
            </w:r>
          </w:p>
        </w:tc>
        <w:tc>
          <w:tcPr>
            <w:tcW w:w="946" w:type="dxa"/>
            <w:vMerge w:val="restart"/>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战略研发中心</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副主任</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协助公司领导从政策、市场及发展趋势等方面进行决策；根据制定战略发展部整体工作计划、工作方向及工作分解；对本部门的工作任务进行分配和实时监测、调整；根据相关政策、市场动向以及发展趋势等向公司领导提交分；析报告和战略方向建议等提案；根据公司整体任务确定本部门的支撑方向、任务以及路径；根据项目内容进行任务分解并制定工作计划，按照计划进行分工，同时对任务的推进和完成情况进行实时监控和调整；根据公司整体发展方向，把握系统和平台的建设方向、构架以及落地方案的审定；制定研发计划并进行研发预算管理；与集团及国网总部协调相关资源及政策。</w:t>
            </w:r>
          </w:p>
        </w:tc>
        <w:tc>
          <w:tcPr>
            <w:tcW w:w="60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2312" w:eastAsia="方正仿宋_GBK" w:cs="方正仿宋_GB2312"/>
                <w:color w:val="000000"/>
                <w:kern w:val="0"/>
                <w:sz w:val="24"/>
                <w:szCs w:val="24"/>
              </w:rPr>
            </w:pPr>
            <w:r>
              <w:rPr>
                <w:rFonts w:hint="eastAsia" w:ascii="方正仿宋_GBK" w:hAnsi="宋体" w:eastAsia="方正仿宋_GBK"/>
                <w:color w:val="000000"/>
                <w:kern w:val="0"/>
                <w:sz w:val="24"/>
                <w:szCs w:val="24"/>
              </w:rPr>
              <w:t>环境工程、能源、电力、金融、市场管理等相关专业；具备5年及以上相关管理经验；熟悉双碳行业相关知识，熟悉国家电网、熟悉国家相关部委，拥有相关资源。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6</w:t>
            </w:r>
          </w:p>
        </w:tc>
        <w:tc>
          <w:tcPr>
            <w:tcW w:w="946" w:type="dxa"/>
            <w:vMerge w:val="continue"/>
            <w:shd w:val="clear" w:color="auto" w:fill="auto"/>
            <w:noWrap/>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产品经理</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负责相关碳业务产品的设计与研发；负责大客户定制化服务；负责产品改进升级及新产品研发工作；负责跟踪产品相关政策、标准、规则最新动向；负责完成产品相关政策解读；负责定期组织产品的员工内训。</w:t>
            </w:r>
          </w:p>
        </w:tc>
        <w:tc>
          <w:tcPr>
            <w:tcW w:w="6029"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环境工程、能源、电力、金融、市场管理等相关专业；具备3-5年绿色金融相关行业研究经验；拥有服务国家电网经验优先；拥有部委资源优先；</w:t>
            </w:r>
            <w:r>
              <w:rPr>
                <w:rFonts w:hint="eastAsia" w:ascii="方正仿宋_GBK" w:hAnsi="宋体" w:eastAsia="方正仿宋_GBK"/>
                <w:color w:val="000000"/>
                <w:kern w:val="0"/>
                <w:sz w:val="24"/>
                <w:szCs w:val="24"/>
              </w:rPr>
              <w:br w:type="textWrapping"/>
            </w:r>
            <w:r>
              <w:rPr>
                <w:rFonts w:hint="eastAsia" w:ascii="方正仿宋_GBK" w:hAnsi="宋体" w:eastAsia="方正仿宋_GBK"/>
                <w:color w:val="000000"/>
                <w:kern w:val="0"/>
                <w:sz w:val="24"/>
                <w:szCs w:val="24"/>
              </w:rPr>
              <w:t>具有较强的资源整合能力。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544"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ascii="方正仿宋_GBK" w:hAnsi="方正仿宋_GB2312" w:eastAsia="方正仿宋_GBK" w:cs="方正仿宋_GB2312"/>
                <w:color w:val="000000"/>
                <w:kern w:val="0"/>
                <w:sz w:val="24"/>
                <w:szCs w:val="24"/>
              </w:rPr>
              <w:t>7</w:t>
            </w:r>
          </w:p>
        </w:tc>
        <w:tc>
          <w:tcPr>
            <w:tcW w:w="9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综合保障部</w:t>
            </w:r>
          </w:p>
        </w:tc>
        <w:tc>
          <w:tcPr>
            <w:tcW w:w="913"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副主任</w:t>
            </w:r>
          </w:p>
        </w:tc>
        <w:tc>
          <w:tcPr>
            <w:tcW w:w="546" w:type="dxa"/>
            <w:shd w:val="clear" w:color="auto" w:fill="auto"/>
            <w:vAlign w:val="center"/>
          </w:tcPr>
          <w:p>
            <w:pPr>
              <w:widowControl/>
              <w:spacing w:line="300" w:lineRule="exact"/>
              <w:jc w:val="center"/>
              <w:textAlignment w:val="center"/>
              <w:rPr>
                <w:rFonts w:ascii="方正仿宋_GBK" w:hAnsi="方正仿宋_GB2312" w:eastAsia="方正仿宋_GBK" w:cs="方正仿宋_GB2312"/>
                <w:color w:val="000000"/>
                <w:sz w:val="24"/>
                <w:szCs w:val="24"/>
              </w:rPr>
            </w:pPr>
            <w:r>
              <w:rPr>
                <w:rFonts w:hint="eastAsia" w:ascii="方正仿宋_GBK" w:hAnsi="方正仿宋_GB2312" w:eastAsia="方正仿宋_GBK" w:cs="方正仿宋_GB2312"/>
                <w:color w:val="000000"/>
                <w:kern w:val="0"/>
                <w:sz w:val="24"/>
                <w:szCs w:val="24"/>
              </w:rPr>
              <w:t>1</w:t>
            </w:r>
          </w:p>
        </w:tc>
        <w:tc>
          <w:tcPr>
            <w:tcW w:w="6641"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制定选用育留的策略并实施，对公司人才队伍的质量负责；梳理总结并推广企业文化，对企业文化宣导的成果负责；负责财务核算决算及审计，确保准确无误、合规；负责对业务进行深入财务分析、定期提供分析报告，给予业务充分的数据支持并提供管理建议；</w:t>
            </w:r>
            <w:r>
              <w:rPr>
                <w:rFonts w:hint="eastAsia" w:ascii="方正仿宋_GBK" w:hAnsi="方正仿宋_GB2312" w:eastAsia="方正仿宋_GBK" w:cs="方正仿宋_GB2312"/>
                <w:color w:val="000000"/>
                <w:sz w:val="24"/>
                <w:szCs w:val="24"/>
              </w:rPr>
              <w:t>负责公司行政事务；负责公司党建、法务、工会等事务。</w:t>
            </w:r>
          </w:p>
        </w:tc>
        <w:tc>
          <w:tcPr>
            <w:tcW w:w="6029" w:type="dxa"/>
            <w:shd w:val="clear" w:color="auto" w:fill="auto"/>
            <w:vAlign w:val="center"/>
          </w:tcPr>
          <w:p>
            <w:pPr>
              <w:widowControl/>
              <w:spacing w:line="300" w:lineRule="exact"/>
              <w:textAlignment w:val="center"/>
              <w:rPr>
                <w:rFonts w:ascii="方正仿宋_GBK" w:hAnsi="方正仿宋_GB2312" w:eastAsia="方正仿宋_GBK" w:cs="方正仿宋_GB2312"/>
                <w:color w:val="000000"/>
                <w:sz w:val="24"/>
                <w:szCs w:val="24"/>
              </w:rPr>
            </w:pPr>
            <w:r>
              <w:rPr>
                <w:rFonts w:hint="eastAsia" w:ascii="方正仿宋_GBK" w:hAnsi="宋体" w:eastAsia="方正仿宋_GBK"/>
                <w:color w:val="000000"/>
                <w:kern w:val="0"/>
                <w:sz w:val="24"/>
                <w:szCs w:val="24"/>
              </w:rPr>
              <w:t>人力资源、心理学、财务管理、行政管理及相关专业；具备10年以上相关经验、其中5年以上管理经验；拥有人力、行政、财务、党建、法务、采购等多方面综合工作经验；抗压能力较强。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2403" w:type="dxa"/>
            <w:gridSpan w:val="3"/>
            <w:shd w:val="clear" w:color="auto" w:fill="auto"/>
            <w:vAlign w:val="center"/>
          </w:tcPr>
          <w:p>
            <w:pPr>
              <w:widowControl/>
              <w:spacing w:line="300" w:lineRule="exact"/>
              <w:jc w:val="center"/>
              <w:textAlignment w:val="center"/>
              <w:rPr>
                <w:rFonts w:hint="eastAsia" w:ascii="方正仿宋_GBK" w:hAnsi="方正仿宋_GB2312" w:eastAsia="方正仿宋_GBK" w:cs="方正仿宋_GB2312"/>
                <w:color w:val="000000"/>
                <w:kern w:val="0"/>
                <w:sz w:val="24"/>
                <w:szCs w:val="24"/>
                <w:lang w:eastAsia="zh-CN"/>
              </w:rPr>
            </w:pPr>
            <w:r>
              <w:rPr>
                <w:rFonts w:hint="eastAsia" w:ascii="方正仿宋_GBK" w:hAnsi="方正仿宋_GB2312" w:eastAsia="方正仿宋_GBK" w:cs="方正仿宋_GB2312"/>
                <w:color w:val="000000"/>
                <w:kern w:val="0"/>
                <w:sz w:val="24"/>
                <w:szCs w:val="24"/>
                <w:lang w:eastAsia="zh-CN"/>
              </w:rPr>
              <w:t>合计</w:t>
            </w:r>
          </w:p>
        </w:tc>
        <w:tc>
          <w:tcPr>
            <w:tcW w:w="13216" w:type="dxa"/>
            <w:gridSpan w:val="3"/>
            <w:shd w:val="clear" w:color="auto" w:fill="auto"/>
            <w:vAlign w:val="center"/>
          </w:tcPr>
          <w:p>
            <w:pPr>
              <w:widowControl/>
              <w:spacing w:line="300" w:lineRule="exact"/>
              <w:jc w:val="center"/>
              <w:textAlignment w:val="center"/>
              <w:rPr>
                <w:rFonts w:hint="eastAsia" w:ascii="方正仿宋_GBK" w:hAnsi="宋体" w:eastAsia="方正仿宋_GBK"/>
                <w:color w:val="000000"/>
                <w:kern w:val="0"/>
                <w:sz w:val="24"/>
                <w:szCs w:val="24"/>
              </w:rPr>
            </w:pPr>
            <w:r>
              <w:rPr>
                <w:rFonts w:hint="eastAsia" w:ascii="方正仿宋_GBK" w:hAnsi="方正仿宋_GB2312" w:eastAsia="方正仿宋_GBK" w:cs="方正仿宋_GB2312"/>
                <w:b w:val="0"/>
                <w:bCs w:val="0"/>
                <w:color w:val="000000"/>
                <w:sz w:val="24"/>
                <w:szCs w:val="24"/>
                <w:highlight w:val="none"/>
                <w:lang w:val="en-US" w:eastAsia="zh-CN"/>
              </w:rPr>
              <w:t>共8人</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wiss"/>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1D"/>
    <w:rsid w:val="000262F0"/>
    <w:rsid w:val="000453F8"/>
    <w:rsid w:val="00051EB7"/>
    <w:rsid w:val="00100685"/>
    <w:rsid w:val="00177CCE"/>
    <w:rsid w:val="001E4496"/>
    <w:rsid w:val="002956D5"/>
    <w:rsid w:val="002A522E"/>
    <w:rsid w:val="00313A89"/>
    <w:rsid w:val="0031704D"/>
    <w:rsid w:val="003B0996"/>
    <w:rsid w:val="003E111A"/>
    <w:rsid w:val="004B7E83"/>
    <w:rsid w:val="00513FF6"/>
    <w:rsid w:val="0057221D"/>
    <w:rsid w:val="00595BB6"/>
    <w:rsid w:val="005D27AC"/>
    <w:rsid w:val="005F5096"/>
    <w:rsid w:val="00650CA8"/>
    <w:rsid w:val="0076177D"/>
    <w:rsid w:val="007A1B94"/>
    <w:rsid w:val="007A4AD1"/>
    <w:rsid w:val="007C05AF"/>
    <w:rsid w:val="007C640F"/>
    <w:rsid w:val="008A3222"/>
    <w:rsid w:val="00906C0D"/>
    <w:rsid w:val="00920451"/>
    <w:rsid w:val="00947775"/>
    <w:rsid w:val="00A030CA"/>
    <w:rsid w:val="00A631D7"/>
    <w:rsid w:val="00A75BD3"/>
    <w:rsid w:val="00AF3795"/>
    <w:rsid w:val="00B17CB6"/>
    <w:rsid w:val="00BA5A00"/>
    <w:rsid w:val="00BA6DE2"/>
    <w:rsid w:val="00BC3590"/>
    <w:rsid w:val="00BC417A"/>
    <w:rsid w:val="00BF071C"/>
    <w:rsid w:val="00C07260"/>
    <w:rsid w:val="00C32949"/>
    <w:rsid w:val="00C83084"/>
    <w:rsid w:val="00C832F0"/>
    <w:rsid w:val="00D56A04"/>
    <w:rsid w:val="00DA5E0A"/>
    <w:rsid w:val="00DB1F8C"/>
    <w:rsid w:val="00E4789A"/>
    <w:rsid w:val="00E74217"/>
    <w:rsid w:val="00E8601B"/>
    <w:rsid w:val="00EB548B"/>
    <w:rsid w:val="00F77B1F"/>
    <w:rsid w:val="0B1066A0"/>
    <w:rsid w:val="16456E06"/>
    <w:rsid w:val="18A16F27"/>
    <w:rsid w:val="2922238E"/>
    <w:rsid w:val="45D7130F"/>
    <w:rsid w:val="4AD7689A"/>
    <w:rsid w:val="4BD35126"/>
    <w:rsid w:val="6F497042"/>
    <w:rsid w:val="7BC86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宋体"/>
      <w:sz w:val="18"/>
      <w:szCs w:val="21"/>
    </w:rPr>
  </w:style>
  <w:style w:type="character" w:customStyle="1" w:styleId="8">
    <w:name w:val="font81"/>
    <w:basedOn w:val="6"/>
    <w:qFormat/>
    <w:uiPriority w:val="0"/>
    <w:rPr>
      <w:rFonts w:hint="eastAsia" w:ascii="方正仿宋_GBK" w:hAnsi="方正仿宋_GBK" w:eastAsia="方正仿宋_GBK" w:cs="方正仿宋_GBK"/>
      <w:color w:val="FF0000"/>
      <w:sz w:val="28"/>
      <w:szCs w:val="28"/>
      <w:u w:val="none"/>
    </w:rPr>
  </w:style>
  <w:style w:type="character" w:customStyle="1" w:styleId="9">
    <w:name w:val="页眉 Char"/>
    <w:basedOn w:val="6"/>
    <w:link w:val="4"/>
    <w:semiHidden/>
    <w:qFormat/>
    <w:uiPriority w:val="99"/>
    <w:rPr>
      <w:rFonts w:ascii="Calibri" w:hAnsi="Calibri" w:eastAsia="宋体" w:cs="宋体"/>
      <w:sz w:val="18"/>
      <w:szCs w:val="18"/>
    </w:rPr>
  </w:style>
  <w:style w:type="character" w:customStyle="1" w:styleId="10">
    <w:name w:val="批注框文本 Char"/>
    <w:basedOn w:val="6"/>
    <w:link w:val="2"/>
    <w:semiHidden/>
    <w:qFormat/>
    <w:uiPriority w:val="99"/>
    <w:rPr>
      <w:rFonts w:ascii="Calibri" w:hAnsi="Calibri" w:eastAsia="宋体" w:cs="宋体"/>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1401</Words>
  <Characters>7992</Characters>
  <Lines>66</Lines>
  <Paragraphs>18</Paragraphs>
  <TotalTime>29</TotalTime>
  <ScaleCrop>false</ScaleCrop>
  <LinksUpToDate>false</LinksUpToDate>
  <CharactersWithSpaces>9375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2022-03-16T05:51:00Z</dcterms:created>
  <dc:creator>郭明慧</dc:creator>
  <cp:lastModifiedBy>admin</cp:lastModifiedBy>
  <cp:lastPrinted>2022-03-24T02:45:00Z</cp:lastPrinted>
  <dcterms:modified xsi:type="dcterms:W3CDTF">2022-03-30T09:28:58Z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