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华电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广西能源有限公司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招聘岗位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招聘岗位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eastAsia="zh-CN"/>
        </w:rPr>
        <w:t>监察部（纪检办、巡察办）审计监督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招聘人数：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组织本单位及所属企业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500万元以下工程项目审计，保证审计全覆盖；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按分层分级管理原则，组织开展违规经营投资责任追究工作和承接集团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移交核查事项等。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协调本单位及所属企业迎审和配合审计相关事宜。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督导审计整改落实及成果运用。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开展集团公司授权的相关审计事宜。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完成其他审计监督事项。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1.学历及职称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全日制大学本科及以上文化程度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中级及以上专业技术职称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（相应从业资格）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或基层企业中层岗位任职经历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。对于长期在基层企业工作，且为区域内本专业优秀骨干，初始学历可以放宽到全日制大专。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2.任职经历：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</w:t>
      </w:r>
      <w:r>
        <w:rPr>
          <w:rFonts w:hint="eastAsia" w:ascii="仿宋" w:hAnsi="仿宋" w:eastAsia="仿宋"/>
          <w:sz w:val="32"/>
          <w:szCs w:val="32"/>
          <w:lang w:eastAsia="zh-CN"/>
        </w:rPr>
        <w:t>审计、财务、工程、招投标、监察等相关管理工作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3年以上，</w:t>
      </w:r>
      <w:r>
        <w:rPr>
          <w:rFonts w:hint="eastAsia" w:ascii="仿宋" w:hAnsi="仿宋" w:eastAsia="仿宋"/>
          <w:sz w:val="32"/>
          <w:szCs w:val="32"/>
          <w:lang w:eastAsia="zh-CN"/>
        </w:rPr>
        <w:t>具备审计监督岗位相应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eastAsia="zh-CN"/>
        </w:rPr>
        <w:t>知识和专业技能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3.年龄：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年龄原则上不超过4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（197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月1日以后出生）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褚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760A"/>
    <w:multiLevelType w:val="singleLevel"/>
    <w:tmpl w:val="5CDA7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5FEE"/>
    <w:rsid w:val="2E137855"/>
    <w:rsid w:val="2E3B54B9"/>
    <w:rsid w:val="3DC978BF"/>
    <w:rsid w:val="5A7E5FEE"/>
    <w:rsid w:val="7EEF5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2019-05-14T07:36:00Z</dcterms:created>
  <dc:creator>周祥勋</dc:creator>
  <cp:lastModifiedBy>周祥勋</cp:lastModifiedBy>
  <dcterms:modified xsi:type="dcterms:W3CDTF">2019-05-15T00:20:15Z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