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附件1</w:t>
      </w:r>
    </w:p>
    <w:p>
      <w:pPr>
        <w:widowControl/>
        <w:jc w:val="left"/>
        <w:rPr>
          <w:rFonts w:ascii="宋体" w:hAnsi="宋体" w:eastAsia="宋体" w:cs="宋体"/>
          <w:b/>
          <w:bCs/>
          <w:color w:val="000000"/>
          <w:kern w:val="0"/>
          <w:sz w:val="24"/>
          <w:szCs w:val="24"/>
        </w:rPr>
      </w:pPr>
    </w:p>
    <w:p>
      <w:pPr>
        <w:widowControl/>
        <w:jc w:val="center"/>
        <w:rPr>
          <w:rFonts w:ascii="宋体" w:hAnsi="宋体" w:eastAsia="宋体" w:cs="宋体"/>
          <w:b/>
          <w:bCs/>
          <w:color w:val="000000"/>
          <w:kern w:val="0"/>
          <w:sz w:val="32"/>
          <w:szCs w:val="32"/>
        </w:rPr>
      </w:pPr>
      <w:r>
        <w:rPr>
          <w:rFonts w:hint="eastAsia" w:ascii="宋体" w:hAnsi="宋体" w:eastAsia="宋体" w:cs="宋体"/>
          <w:b/>
          <w:bCs/>
          <w:color w:val="000000"/>
          <w:kern w:val="0"/>
          <w:sz w:val="32"/>
          <w:szCs w:val="32"/>
        </w:rPr>
        <w:t>海南电网有限责任公司2019年校园招聘宣讲安排</w:t>
      </w:r>
    </w:p>
    <w:tbl>
      <w:tblPr>
        <w:tblStyle w:val="7"/>
        <w:tblW w:w="9608" w:type="dxa"/>
        <w:jc w:val="center"/>
        <w:tblInd w:w="0" w:type="dxa"/>
        <w:tblLayout w:type="fixed"/>
        <w:tblCellMar>
          <w:top w:w="0" w:type="dxa"/>
          <w:left w:w="108" w:type="dxa"/>
          <w:bottom w:w="0" w:type="dxa"/>
          <w:right w:w="108" w:type="dxa"/>
        </w:tblCellMar>
      </w:tblPr>
      <w:tblGrid>
        <w:gridCol w:w="700"/>
        <w:gridCol w:w="913"/>
        <w:gridCol w:w="2295"/>
        <w:gridCol w:w="2625"/>
        <w:gridCol w:w="3075"/>
      </w:tblGrid>
      <w:tr>
        <w:tblPrEx>
          <w:tblLayout w:type="fixed"/>
          <w:tblCellMar>
            <w:top w:w="0" w:type="dxa"/>
            <w:left w:w="108" w:type="dxa"/>
            <w:bottom w:w="0" w:type="dxa"/>
            <w:right w:w="108" w:type="dxa"/>
          </w:tblCellMar>
        </w:tblPrEx>
        <w:trPr>
          <w:trHeight w:val="600" w:hRule="atLeast"/>
          <w:jc w:val="center"/>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序号</w:t>
            </w:r>
          </w:p>
        </w:tc>
        <w:tc>
          <w:tcPr>
            <w:tcW w:w="91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城市</w:t>
            </w:r>
          </w:p>
        </w:tc>
        <w:tc>
          <w:tcPr>
            <w:tcW w:w="229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学校</w:t>
            </w:r>
          </w:p>
        </w:tc>
        <w:tc>
          <w:tcPr>
            <w:tcW w:w="26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宣讲时间</w:t>
            </w:r>
          </w:p>
        </w:tc>
        <w:tc>
          <w:tcPr>
            <w:tcW w:w="30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备注</w:t>
            </w:r>
          </w:p>
        </w:tc>
      </w:tr>
      <w:tr>
        <w:tblPrEx>
          <w:tblLayout w:type="fixed"/>
          <w:tblCellMar>
            <w:top w:w="0" w:type="dxa"/>
            <w:left w:w="108" w:type="dxa"/>
            <w:bottom w:w="0" w:type="dxa"/>
            <w:right w:w="108" w:type="dxa"/>
          </w:tblCellMar>
        </w:tblPrEx>
        <w:trPr>
          <w:trHeight w:val="660" w:hRule="atLeast"/>
          <w:jc w:val="center"/>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w:t>
            </w:r>
          </w:p>
        </w:tc>
        <w:tc>
          <w:tcPr>
            <w:tcW w:w="91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宜昌</w:t>
            </w:r>
          </w:p>
        </w:tc>
        <w:tc>
          <w:tcPr>
            <w:tcW w:w="229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三峡大学</w:t>
            </w:r>
          </w:p>
        </w:tc>
        <w:tc>
          <w:tcPr>
            <w:tcW w:w="2625"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lang w:val="en-US" w:eastAsia="zh-CN"/>
              </w:rPr>
              <w:t>2018年10月15-24日</w:t>
            </w:r>
          </w:p>
        </w:tc>
        <w:tc>
          <w:tcPr>
            <w:tcW w:w="3075" w:type="dxa"/>
            <w:vMerge w:val="restart"/>
            <w:tcBorders>
              <w:top w:val="nil"/>
              <w:left w:val="nil"/>
              <w:right w:val="single" w:color="auto" w:sz="4" w:space="0"/>
            </w:tcBorders>
            <w:shd w:val="clear" w:color="000000" w:fill="FFFFFF"/>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具体宣讲时间、地点，请关注</w:t>
            </w:r>
            <w:r>
              <w:fldChar w:fldCharType="begin"/>
            </w:r>
            <w:r>
              <w:instrText xml:space="preserve"> HYPERLINK "http://zhaopin.csg.cn" </w:instrText>
            </w:r>
            <w:r>
              <w:fldChar w:fldCharType="separate"/>
            </w:r>
            <w:r>
              <w:rPr>
                <w:rFonts w:hint="eastAsia" w:cs="宋体" w:asciiTheme="minorEastAsia" w:hAnsiTheme="minorEastAsia"/>
                <w:kern w:val="0"/>
                <w:sz w:val="24"/>
                <w:szCs w:val="24"/>
              </w:rPr>
              <w:t>http://zhaopin.csg.cn</w:t>
            </w:r>
            <w:r>
              <w:rPr>
                <w:rFonts w:hint="eastAsia" w:cs="宋体" w:asciiTheme="minorEastAsia" w:hAnsiTheme="minorEastAsia"/>
                <w:kern w:val="0"/>
                <w:sz w:val="24"/>
                <w:szCs w:val="24"/>
              </w:rPr>
              <w:fldChar w:fldCharType="end"/>
            </w:r>
            <w:r>
              <w:rPr>
                <w:rFonts w:hint="eastAsia" w:cs="宋体" w:asciiTheme="minorEastAsia" w:hAnsiTheme="minorEastAsia"/>
                <w:kern w:val="0"/>
                <w:sz w:val="24"/>
                <w:szCs w:val="24"/>
              </w:rPr>
              <w:t>招聘动态。</w:t>
            </w:r>
          </w:p>
        </w:tc>
      </w:tr>
      <w:tr>
        <w:tblPrEx>
          <w:tblLayout w:type="fixed"/>
          <w:tblCellMar>
            <w:top w:w="0" w:type="dxa"/>
            <w:left w:w="108" w:type="dxa"/>
            <w:bottom w:w="0" w:type="dxa"/>
            <w:right w:w="108" w:type="dxa"/>
          </w:tblCellMar>
        </w:tblPrEx>
        <w:trPr>
          <w:trHeight w:val="660" w:hRule="atLeast"/>
          <w:jc w:val="center"/>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w:t>
            </w:r>
          </w:p>
        </w:tc>
        <w:tc>
          <w:tcPr>
            <w:tcW w:w="91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武汉</w:t>
            </w:r>
          </w:p>
        </w:tc>
        <w:tc>
          <w:tcPr>
            <w:tcW w:w="229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华中科技大学</w:t>
            </w:r>
          </w:p>
        </w:tc>
        <w:tc>
          <w:tcPr>
            <w:tcW w:w="2625"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lang w:val="en-US" w:eastAsia="zh-CN"/>
              </w:rPr>
              <w:t>2018年10月15-24日</w:t>
            </w:r>
          </w:p>
        </w:tc>
        <w:tc>
          <w:tcPr>
            <w:tcW w:w="3075" w:type="dxa"/>
            <w:vMerge w:val="continue"/>
            <w:tcBorders>
              <w:left w:val="nil"/>
              <w:right w:val="single" w:color="auto" w:sz="4" w:space="0"/>
            </w:tcBorders>
            <w:shd w:val="clear" w:color="000000" w:fill="FFFFFF"/>
            <w:vAlign w:val="center"/>
          </w:tcPr>
          <w:p>
            <w:pPr>
              <w:widowControl/>
              <w:jc w:val="center"/>
              <w:rPr>
                <w:rFonts w:cs="宋体" w:asciiTheme="minorEastAsia" w:hAnsiTheme="minorEastAsia"/>
                <w:kern w:val="0"/>
                <w:sz w:val="22"/>
              </w:rPr>
            </w:pPr>
          </w:p>
        </w:tc>
      </w:tr>
      <w:tr>
        <w:tblPrEx>
          <w:tblLayout w:type="fixed"/>
          <w:tblCellMar>
            <w:top w:w="0" w:type="dxa"/>
            <w:left w:w="108" w:type="dxa"/>
            <w:bottom w:w="0" w:type="dxa"/>
            <w:right w:w="108" w:type="dxa"/>
          </w:tblCellMar>
        </w:tblPrEx>
        <w:trPr>
          <w:trHeight w:val="660" w:hRule="atLeast"/>
          <w:jc w:val="center"/>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w:t>
            </w:r>
          </w:p>
        </w:tc>
        <w:tc>
          <w:tcPr>
            <w:tcW w:w="913"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 w:val="24"/>
                <w:szCs w:val="24"/>
              </w:rPr>
            </w:pPr>
          </w:p>
        </w:tc>
        <w:tc>
          <w:tcPr>
            <w:tcW w:w="229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武汉大学</w:t>
            </w:r>
          </w:p>
        </w:tc>
        <w:tc>
          <w:tcPr>
            <w:tcW w:w="2625"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lang w:val="en-US" w:eastAsia="zh-CN"/>
              </w:rPr>
              <w:t>2018年10月15-24日</w:t>
            </w:r>
          </w:p>
        </w:tc>
        <w:tc>
          <w:tcPr>
            <w:tcW w:w="3075" w:type="dxa"/>
            <w:vMerge w:val="continue"/>
            <w:tcBorders>
              <w:left w:val="nil"/>
              <w:right w:val="single" w:color="auto" w:sz="4" w:space="0"/>
            </w:tcBorders>
            <w:shd w:val="clear" w:color="000000" w:fill="FFFFFF"/>
            <w:vAlign w:val="center"/>
          </w:tcPr>
          <w:p>
            <w:pPr>
              <w:widowControl/>
              <w:jc w:val="center"/>
              <w:rPr>
                <w:rFonts w:cs="宋体" w:asciiTheme="minorEastAsia" w:hAnsiTheme="minorEastAsia"/>
                <w:kern w:val="0"/>
                <w:sz w:val="22"/>
              </w:rPr>
            </w:pPr>
          </w:p>
        </w:tc>
      </w:tr>
      <w:tr>
        <w:tblPrEx>
          <w:tblLayout w:type="fixed"/>
          <w:tblCellMar>
            <w:top w:w="0" w:type="dxa"/>
            <w:left w:w="108" w:type="dxa"/>
            <w:bottom w:w="0" w:type="dxa"/>
            <w:right w:w="108" w:type="dxa"/>
          </w:tblCellMar>
        </w:tblPrEx>
        <w:trPr>
          <w:trHeight w:val="660" w:hRule="atLeast"/>
          <w:jc w:val="center"/>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4</w:t>
            </w:r>
          </w:p>
        </w:tc>
        <w:tc>
          <w:tcPr>
            <w:tcW w:w="91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西安</w:t>
            </w:r>
          </w:p>
        </w:tc>
        <w:tc>
          <w:tcPr>
            <w:tcW w:w="229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西安交通大学</w:t>
            </w:r>
          </w:p>
        </w:tc>
        <w:tc>
          <w:tcPr>
            <w:tcW w:w="2625"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lang w:val="en-US" w:eastAsia="zh-CN"/>
              </w:rPr>
              <w:t>2018年10月15-24日</w:t>
            </w:r>
          </w:p>
        </w:tc>
        <w:tc>
          <w:tcPr>
            <w:tcW w:w="3075" w:type="dxa"/>
            <w:vMerge w:val="continue"/>
            <w:tcBorders>
              <w:left w:val="nil"/>
              <w:right w:val="single" w:color="auto" w:sz="4" w:space="0"/>
            </w:tcBorders>
            <w:shd w:val="clear" w:color="000000" w:fill="FFFFFF"/>
            <w:vAlign w:val="center"/>
          </w:tcPr>
          <w:p>
            <w:pPr>
              <w:widowControl/>
              <w:jc w:val="center"/>
              <w:rPr>
                <w:rFonts w:cs="宋体" w:asciiTheme="minorEastAsia" w:hAnsiTheme="minorEastAsia"/>
                <w:kern w:val="0"/>
                <w:sz w:val="22"/>
              </w:rPr>
            </w:pPr>
          </w:p>
        </w:tc>
      </w:tr>
      <w:tr>
        <w:tblPrEx>
          <w:tblLayout w:type="fixed"/>
          <w:tblCellMar>
            <w:top w:w="0" w:type="dxa"/>
            <w:left w:w="108" w:type="dxa"/>
            <w:bottom w:w="0" w:type="dxa"/>
            <w:right w:w="108" w:type="dxa"/>
          </w:tblCellMar>
        </w:tblPrEx>
        <w:trPr>
          <w:trHeight w:val="660" w:hRule="atLeast"/>
          <w:jc w:val="center"/>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5</w:t>
            </w:r>
          </w:p>
        </w:tc>
        <w:tc>
          <w:tcPr>
            <w:tcW w:w="91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长沙</w:t>
            </w:r>
          </w:p>
        </w:tc>
        <w:tc>
          <w:tcPr>
            <w:tcW w:w="229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湖南大学</w:t>
            </w:r>
          </w:p>
        </w:tc>
        <w:tc>
          <w:tcPr>
            <w:tcW w:w="2625"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lang w:val="en-US" w:eastAsia="zh-CN"/>
              </w:rPr>
              <w:t>2018年10月15-24日</w:t>
            </w:r>
          </w:p>
        </w:tc>
        <w:tc>
          <w:tcPr>
            <w:tcW w:w="3075" w:type="dxa"/>
            <w:vMerge w:val="continue"/>
            <w:tcBorders>
              <w:left w:val="nil"/>
              <w:right w:val="single" w:color="auto" w:sz="4" w:space="0"/>
            </w:tcBorders>
            <w:shd w:val="clear" w:color="000000" w:fill="FFFFFF"/>
            <w:vAlign w:val="center"/>
          </w:tcPr>
          <w:p>
            <w:pPr>
              <w:widowControl/>
              <w:jc w:val="center"/>
              <w:rPr>
                <w:rFonts w:cs="宋体" w:asciiTheme="minorEastAsia" w:hAnsiTheme="minorEastAsia"/>
                <w:kern w:val="0"/>
                <w:sz w:val="22"/>
              </w:rPr>
            </w:pPr>
          </w:p>
        </w:tc>
      </w:tr>
      <w:tr>
        <w:tblPrEx>
          <w:tblLayout w:type="fixed"/>
          <w:tblCellMar>
            <w:top w:w="0" w:type="dxa"/>
            <w:left w:w="108" w:type="dxa"/>
            <w:bottom w:w="0" w:type="dxa"/>
            <w:right w:w="108" w:type="dxa"/>
          </w:tblCellMar>
        </w:tblPrEx>
        <w:trPr>
          <w:trHeight w:val="660" w:hRule="atLeast"/>
          <w:jc w:val="center"/>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6</w:t>
            </w:r>
          </w:p>
        </w:tc>
        <w:tc>
          <w:tcPr>
            <w:tcW w:w="913"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24"/>
                <w:szCs w:val="24"/>
              </w:rPr>
            </w:pPr>
          </w:p>
        </w:tc>
        <w:tc>
          <w:tcPr>
            <w:tcW w:w="229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长沙理工大学</w:t>
            </w:r>
          </w:p>
        </w:tc>
        <w:tc>
          <w:tcPr>
            <w:tcW w:w="2625"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lang w:val="en-US" w:eastAsia="zh-CN"/>
              </w:rPr>
              <w:t>2018年10月15-24日</w:t>
            </w:r>
          </w:p>
        </w:tc>
        <w:tc>
          <w:tcPr>
            <w:tcW w:w="3075" w:type="dxa"/>
            <w:vMerge w:val="continue"/>
            <w:tcBorders>
              <w:left w:val="nil"/>
              <w:right w:val="single" w:color="auto" w:sz="4" w:space="0"/>
            </w:tcBorders>
            <w:shd w:val="clear" w:color="000000" w:fill="FFFFFF"/>
            <w:vAlign w:val="center"/>
          </w:tcPr>
          <w:p>
            <w:pPr>
              <w:widowControl/>
              <w:jc w:val="center"/>
              <w:rPr>
                <w:rFonts w:cs="宋体" w:asciiTheme="minorEastAsia" w:hAnsiTheme="minorEastAsia"/>
                <w:kern w:val="0"/>
                <w:sz w:val="22"/>
              </w:rPr>
            </w:pPr>
          </w:p>
        </w:tc>
      </w:tr>
      <w:tr>
        <w:tblPrEx>
          <w:tblLayout w:type="fixed"/>
          <w:tblCellMar>
            <w:top w:w="0" w:type="dxa"/>
            <w:left w:w="108" w:type="dxa"/>
            <w:bottom w:w="0" w:type="dxa"/>
            <w:right w:w="108" w:type="dxa"/>
          </w:tblCellMar>
        </w:tblPrEx>
        <w:trPr>
          <w:trHeight w:val="660" w:hRule="atLeast"/>
          <w:jc w:val="center"/>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7</w:t>
            </w:r>
          </w:p>
        </w:tc>
        <w:tc>
          <w:tcPr>
            <w:tcW w:w="91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北京</w:t>
            </w:r>
          </w:p>
        </w:tc>
        <w:tc>
          <w:tcPr>
            <w:tcW w:w="229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华北电力大学</w:t>
            </w:r>
          </w:p>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（北京）</w:t>
            </w:r>
          </w:p>
        </w:tc>
        <w:tc>
          <w:tcPr>
            <w:tcW w:w="2625"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lang w:val="en-US" w:eastAsia="zh-CN"/>
              </w:rPr>
              <w:t>2018年10月15-24日</w:t>
            </w:r>
          </w:p>
        </w:tc>
        <w:tc>
          <w:tcPr>
            <w:tcW w:w="3075" w:type="dxa"/>
            <w:vMerge w:val="continue"/>
            <w:tcBorders>
              <w:left w:val="nil"/>
              <w:right w:val="single" w:color="auto" w:sz="4" w:space="0"/>
            </w:tcBorders>
            <w:shd w:val="clear" w:color="000000" w:fill="FFFFFF"/>
            <w:vAlign w:val="center"/>
          </w:tcPr>
          <w:p>
            <w:pPr>
              <w:widowControl/>
              <w:jc w:val="center"/>
              <w:rPr>
                <w:rFonts w:cs="宋体" w:asciiTheme="minorEastAsia" w:hAnsiTheme="minorEastAsia"/>
                <w:kern w:val="0"/>
                <w:sz w:val="22"/>
              </w:rPr>
            </w:pPr>
          </w:p>
        </w:tc>
      </w:tr>
      <w:tr>
        <w:tblPrEx>
          <w:tblLayout w:type="fixed"/>
          <w:tblCellMar>
            <w:top w:w="0" w:type="dxa"/>
            <w:left w:w="108" w:type="dxa"/>
            <w:bottom w:w="0" w:type="dxa"/>
            <w:right w:w="108" w:type="dxa"/>
          </w:tblCellMar>
        </w:tblPrEx>
        <w:trPr>
          <w:trHeight w:val="660" w:hRule="atLeast"/>
          <w:jc w:val="center"/>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8</w:t>
            </w:r>
          </w:p>
        </w:tc>
        <w:tc>
          <w:tcPr>
            <w:tcW w:w="91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河北</w:t>
            </w:r>
          </w:p>
        </w:tc>
        <w:tc>
          <w:tcPr>
            <w:tcW w:w="229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华北电力大学</w:t>
            </w:r>
          </w:p>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（保定）</w:t>
            </w:r>
          </w:p>
        </w:tc>
        <w:tc>
          <w:tcPr>
            <w:tcW w:w="2625"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lang w:val="en-US" w:eastAsia="zh-CN"/>
              </w:rPr>
              <w:t>2018年10月15-24日</w:t>
            </w:r>
          </w:p>
        </w:tc>
        <w:tc>
          <w:tcPr>
            <w:tcW w:w="3075" w:type="dxa"/>
            <w:vMerge w:val="continue"/>
            <w:tcBorders>
              <w:left w:val="nil"/>
              <w:right w:val="single" w:color="auto" w:sz="4" w:space="0"/>
            </w:tcBorders>
            <w:shd w:val="clear" w:color="000000" w:fill="FFFFFF"/>
            <w:vAlign w:val="center"/>
          </w:tcPr>
          <w:p>
            <w:pPr>
              <w:widowControl/>
              <w:jc w:val="center"/>
              <w:rPr>
                <w:rFonts w:cs="宋体" w:asciiTheme="minorEastAsia" w:hAnsiTheme="minorEastAsia"/>
                <w:color w:val="000000"/>
                <w:kern w:val="0"/>
                <w:sz w:val="22"/>
              </w:rPr>
            </w:pPr>
          </w:p>
        </w:tc>
      </w:tr>
      <w:tr>
        <w:tblPrEx>
          <w:tblLayout w:type="fixed"/>
          <w:tblCellMar>
            <w:top w:w="0" w:type="dxa"/>
            <w:left w:w="108" w:type="dxa"/>
            <w:bottom w:w="0" w:type="dxa"/>
            <w:right w:w="108" w:type="dxa"/>
          </w:tblCellMar>
        </w:tblPrEx>
        <w:trPr>
          <w:trHeight w:val="660" w:hRule="atLeast"/>
          <w:jc w:val="center"/>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9</w:t>
            </w:r>
          </w:p>
        </w:tc>
        <w:tc>
          <w:tcPr>
            <w:tcW w:w="91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吉林</w:t>
            </w:r>
          </w:p>
        </w:tc>
        <w:tc>
          <w:tcPr>
            <w:tcW w:w="229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东北电力大学</w:t>
            </w:r>
          </w:p>
        </w:tc>
        <w:tc>
          <w:tcPr>
            <w:tcW w:w="2625"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lang w:val="en-US" w:eastAsia="zh-CN"/>
              </w:rPr>
              <w:t>2018年10月15-24日</w:t>
            </w:r>
          </w:p>
        </w:tc>
        <w:tc>
          <w:tcPr>
            <w:tcW w:w="3075" w:type="dxa"/>
            <w:vMerge w:val="continue"/>
            <w:tcBorders>
              <w:left w:val="nil"/>
              <w:right w:val="single" w:color="auto" w:sz="4" w:space="0"/>
            </w:tcBorders>
            <w:shd w:val="clear" w:color="000000" w:fill="FFFFFF"/>
            <w:vAlign w:val="center"/>
          </w:tcPr>
          <w:p>
            <w:pPr>
              <w:widowControl/>
              <w:jc w:val="center"/>
              <w:rPr>
                <w:rFonts w:cs="宋体" w:asciiTheme="minorEastAsia" w:hAnsiTheme="minorEastAsia"/>
                <w:color w:val="000000"/>
                <w:kern w:val="0"/>
                <w:sz w:val="22"/>
              </w:rPr>
            </w:pPr>
          </w:p>
        </w:tc>
      </w:tr>
      <w:tr>
        <w:tblPrEx>
          <w:tblLayout w:type="fixed"/>
          <w:tblCellMar>
            <w:top w:w="0" w:type="dxa"/>
            <w:left w:w="108" w:type="dxa"/>
            <w:bottom w:w="0" w:type="dxa"/>
            <w:right w:w="108" w:type="dxa"/>
          </w:tblCellMar>
        </w:tblPrEx>
        <w:trPr>
          <w:trHeight w:val="660" w:hRule="atLeast"/>
          <w:jc w:val="center"/>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10</w:t>
            </w:r>
          </w:p>
        </w:tc>
        <w:tc>
          <w:tcPr>
            <w:tcW w:w="91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广州</w:t>
            </w:r>
          </w:p>
        </w:tc>
        <w:tc>
          <w:tcPr>
            <w:tcW w:w="229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华南理工大学</w:t>
            </w:r>
          </w:p>
        </w:tc>
        <w:tc>
          <w:tcPr>
            <w:tcW w:w="2625"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lang w:val="en-US" w:eastAsia="zh-CN"/>
              </w:rPr>
              <w:t>2018年10月15-24日</w:t>
            </w:r>
          </w:p>
        </w:tc>
        <w:tc>
          <w:tcPr>
            <w:tcW w:w="3075" w:type="dxa"/>
            <w:vMerge w:val="continue"/>
            <w:tcBorders>
              <w:left w:val="nil"/>
              <w:right w:val="single" w:color="auto" w:sz="4" w:space="0"/>
            </w:tcBorders>
            <w:shd w:val="clear" w:color="000000" w:fill="FFFFFF"/>
            <w:vAlign w:val="center"/>
          </w:tcPr>
          <w:p>
            <w:pPr>
              <w:widowControl/>
              <w:jc w:val="center"/>
              <w:rPr>
                <w:rFonts w:cs="宋体" w:asciiTheme="minorEastAsia" w:hAnsiTheme="minorEastAsia"/>
                <w:kern w:val="0"/>
                <w:sz w:val="22"/>
              </w:rPr>
            </w:pPr>
          </w:p>
        </w:tc>
      </w:tr>
      <w:tr>
        <w:tblPrEx>
          <w:tblLayout w:type="fixed"/>
          <w:tblCellMar>
            <w:top w:w="0" w:type="dxa"/>
            <w:left w:w="108" w:type="dxa"/>
            <w:bottom w:w="0" w:type="dxa"/>
            <w:right w:w="108" w:type="dxa"/>
          </w:tblCellMar>
        </w:tblPrEx>
        <w:trPr>
          <w:trHeight w:val="660" w:hRule="atLeast"/>
          <w:jc w:val="center"/>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11</w:t>
            </w:r>
          </w:p>
        </w:tc>
        <w:tc>
          <w:tcPr>
            <w:tcW w:w="91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海口</w:t>
            </w:r>
          </w:p>
        </w:tc>
        <w:tc>
          <w:tcPr>
            <w:tcW w:w="229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海南大学</w:t>
            </w:r>
          </w:p>
        </w:tc>
        <w:tc>
          <w:tcPr>
            <w:tcW w:w="2625"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lang w:val="en-US" w:eastAsia="zh-CN"/>
              </w:rPr>
              <w:t>2018年10月15-24日</w:t>
            </w:r>
            <w:bookmarkStart w:id="0" w:name="_GoBack"/>
            <w:bookmarkEnd w:id="0"/>
          </w:p>
        </w:tc>
        <w:tc>
          <w:tcPr>
            <w:tcW w:w="3075" w:type="dxa"/>
            <w:vMerge w:val="continue"/>
            <w:tcBorders>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color w:val="000000"/>
                <w:kern w:val="0"/>
                <w:sz w:val="22"/>
              </w:rPr>
            </w:pP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200"/>
        <w:jc w:val="left"/>
        <w:textAlignment w:val="auto"/>
        <w:outlineLvl w:val="9"/>
        <w:rPr>
          <w:rFonts w:ascii="Times New Roman" w:hAnsi="Times New Roman" w:eastAsia="宋体" w:cs="Times New Roman"/>
          <w:color w:val="000000"/>
          <w:sz w:val="24"/>
          <w:szCs w:val="24"/>
        </w:rPr>
      </w:pPr>
      <w:r>
        <w:rPr>
          <w:rFonts w:hint="eastAsia" w:ascii="宋体" w:hAnsi="宋体"/>
          <w:sz w:val="24"/>
          <w:szCs w:val="24"/>
          <w:lang w:eastAsia="zh-CN"/>
        </w:rPr>
        <w:t>温馨提示：</w:t>
      </w:r>
      <w:r>
        <w:rPr>
          <w:rFonts w:hint="eastAsia" w:ascii="宋体" w:hAnsi="宋体"/>
          <w:sz w:val="24"/>
          <w:szCs w:val="24"/>
        </w:rPr>
        <w:t>现场宣讲会结束后，将安排符合条件的本科及以上学历电气类毕业生进行面谈。为了节省时间，请您带上简历、教务部门盖章的成绩单以及各类证书复印件参加海南电网公司的宣讲会。</w:t>
      </w:r>
    </w:p>
    <w:p>
      <w:pPr>
        <w:spacing w:line="560" w:lineRule="exact"/>
        <w:rPr>
          <w:rFonts w:ascii="Times New Roman" w:hAnsi="Times New Roman" w:eastAsia="宋体" w:cs="Times New Roman"/>
          <w:color w:val="000000"/>
          <w:sz w:val="32"/>
          <w:szCs w:val="32"/>
        </w:rPr>
      </w:pPr>
    </w:p>
    <w:p>
      <w:pPr>
        <w:spacing w:line="560" w:lineRule="exact"/>
        <w:rPr>
          <w:rFonts w:ascii="Times New Roman" w:hAnsi="Times New Roman" w:eastAsia="宋体" w:cs="Times New Roman"/>
          <w:color w:val="000000"/>
          <w:sz w:val="32"/>
          <w:szCs w:val="32"/>
        </w:rPr>
      </w:pPr>
    </w:p>
    <w:p>
      <w:pPr>
        <w:spacing w:line="560" w:lineRule="exact"/>
        <w:rPr>
          <w:rFonts w:ascii="Times New Roman" w:hAnsi="Times New Roman" w:eastAsia="宋体" w:cs="Times New Roman"/>
          <w:color w:val="000000"/>
          <w:sz w:val="32"/>
          <w:szCs w:val="32"/>
        </w:rPr>
      </w:pPr>
    </w:p>
    <w:p>
      <w:pPr>
        <w:spacing w:line="560" w:lineRule="exact"/>
        <w:rPr>
          <w:rFonts w:ascii="Times New Roman" w:hAnsi="Times New Roman" w:eastAsia="宋体" w:cs="Times New Roman"/>
          <w:color w:val="000000"/>
          <w:sz w:val="32"/>
          <w:szCs w:val="32"/>
        </w:rPr>
      </w:pPr>
    </w:p>
    <w:p>
      <w:pPr>
        <w:widowControl/>
        <w:jc w:val="left"/>
        <w:rPr>
          <w:rFonts w:ascii="宋体" w:hAnsi="宋体" w:eastAsia="宋体" w:cs="宋体"/>
          <w:b/>
          <w:bCs/>
          <w:color w:val="000000"/>
          <w:kern w:val="0"/>
          <w:sz w:val="24"/>
          <w:szCs w:val="24"/>
        </w:rPr>
      </w:pPr>
    </w:p>
    <w:p>
      <w:pPr>
        <w:widowControl/>
        <w:jc w:val="left"/>
        <w:rPr>
          <w:rFonts w:ascii="宋体" w:hAnsi="宋体" w:eastAsia="宋体" w:cs="宋体"/>
          <w:b/>
          <w:bCs/>
          <w:color w:val="000000"/>
          <w:kern w:val="0"/>
          <w:sz w:val="24"/>
          <w:szCs w:val="24"/>
        </w:rPr>
      </w:pPr>
    </w:p>
    <w:p>
      <w:pPr>
        <w:widowControl/>
        <w:jc w:val="left"/>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附件2</w:t>
      </w:r>
    </w:p>
    <w:p>
      <w:pPr>
        <w:widowControl/>
        <w:jc w:val="left"/>
        <w:rPr>
          <w:rFonts w:ascii="宋体" w:hAnsi="宋体" w:eastAsia="宋体" w:cs="宋体"/>
          <w:b/>
          <w:bCs/>
          <w:color w:val="000000"/>
          <w:kern w:val="0"/>
          <w:sz w:val="24"/>
          <w:szCs w:val="24"/>
        </w:rPr>
      </w:pPr>
    </w:p>
    <w:p>
      <w:pPr>
        <w:jc w:val="center"/>
        <w:rPr>
          <w:rFonts w:ascii="宋体" w:hAnsi="宋体" w:eastAsia="宋体" w:cs="宋体"/>
          <w:b/>
          <w:bCs/>
          <w:color w:val="000000"/>
          <w:kern w:val="0"/>
          <w:sz w:val="32"/>
          <w:szCs w:val="32"/>
        </w:rPr>
      </w:pPr>
      <w:r>
        <w:rPr>
          <w:rFonts w:hint="eastAsia" w:ascii="宋体" w:hAnsi="宋体" w:eastAsia="宋体" w:cs="宋体"/>
          <w:b/>
          <w:bCs/>
          <w:color w:val="000000"/>
          <w:kern w:val="0"/>
          <w:sz w:val="32"/>
          <w:szCs w:val="32"/>
        </w:rPr>
        <w:t>海南电网有限责任公司2019年校园招聘专业及学历要求</w:t>
      </w:r>
    </w:p>
    <w:tbl>
      <w:tblPr>
        <w:tblStyle w:val="7"/>
        <w:tblW w:w="9339" w:type="dxa"/>
        <w:jc w:val="center"/>
        <w:tblInd w:w="228" w:type="dxa"/>
        <w:tblLayout w:type="fixed"/>
        <w:tblCellMar>
          <w:top w:w="0" w:type="dxa"/>
          <w:left w:w="108" w:type="dxa"/>
          <w:bottom w:w="0" w:type="dxa"/>
          <w:right w:w="108" w:type="dxa"/>
        </w:tblCellMar>
      </w:tblPr>
      <w:tblGrid>
        <w:gridCol w:w="793"/>
        <w:gridCol w:w="1592"/>
        <w:gridCol w:w="5563"/>
        <w:gridCol w:w="1391"/>
      </w:tblGrid>
      <w:tr>
        <w:tblPrEx>
          <w:tblLayout w:type="fixed"/>
          <w:tblCellMar>
            <w:top w:w="0" w:type="dxa"/>
            <w:left w:w="108" w:type="dxa"/>
            <w:bottom w:w="0" w:type="dxa"/>
            <w:right w:w="108" w:type="dxa"/>
          </w:tblCellMar>
        </w:tblPrEx>
        <w:trPr>
          <w:trHeight w:val="452" w:hRule="atLeast"/>
          <w:jc w:val="center"/>
        </w:trPr>
        <w:tc>
          <w:tcPr>
            <w:tcW w:w="79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sz w:val="22"/>
              </w:rPr>
            </w:pPr>
            <w:r>
              <w:rPr>
                <w:rFonts w:hint="eastAsia" w:ascii="宋体" w:hAnsi="宋体" w:cs="宋体"/>
                <w:b/>
                <w:bCs/>
                <w:sz w:val="22"/>
              </w:rPr>
              <w:t>序号</w:t>
            </w:r>
          </w:p>
        </w:tc>
        <w:tc>
          <w:tcPr>
            <w:tcW w:w="159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sz w:val="22"/>
              </w:rPr>
            </w:pPr>
            <w:r>
              <w:rPr>
                <w:rFonts w:hint="eastAsia" w:ascii="宋体" w:hAnsi="宋体" w:cs="宋体"/>
                <w:b/>
                <w:bCs/>
                <w:sz w:val="22"/>
              </w:rPr>
              <w:t>岗位类别</w:t>
            </w:r>
          </w:p>
        </w:tc>
        <w:tc>
          <w:tcPr>
            <w:tcW w:w="5563"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sz w:val="22"/>
              </w:rPr>
            </w:pPr>
            <w:r>
              <w:rPr>
                <w:rFonts w:hint="eastAsia" w:ascii="宋体" w:hAnsi="宋体" w:cs="宋体"/>
                <w:b/>
                <w:bCs/>
                <w:sz w:val="22"/>
              </w:rPr>
              <w:t>专业名称</w:t>
            </w:r>
          </w:p>
        </w:tc>
        <w:tc>
          <w:tcPr>
            <w:tcW w:w="139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sz w:val="22"/>
              </w:rPr>
            </w:pPr>
            <w:r>
              <w:rPr>
                <w:rFonts w:hint="eastAsia" w:ascii="宋体" w:hAnsi="宋体" w:cs="宋体"/>
                <w:b/>
                <w:bCs/>
                <w:sz w:val="22"/>
              </w:rPr>
              <w:t>全日制学历</w:t>
            </w:r>
          </w:p>
        </w:tc>
      </w:tr>
      <w:tr>
        <w:tblPrEx>
          <w:tblLayout w:type="fixed"/>
          <w:tblCellMar>
            <w:top w:w="0" w:type="dxa"/>
            <w:left w:w="108" w:type="dxa"/>
            <w:bottom w:w="0" w:type="dxa"/>
            <w:right w:w="108" w:type="dxa"/>
          </w:tblCellMar>
        </w:tblPrEx>
        <w:trPr>
          <w:trHeight w:val="495" w:hRule="atLeast"/>
          <w:jc w:val="center"/>
        </w:trPr>
        <w:tc>
          <w:tcPr>
            <w:tcW w:w="79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2"/>
              </w:rPr>
            </w:pPr>
            <w:r>
              <w:rPr>
                <w:rFonts w:hint="eastAsia"/>
                <w:color w:val="000000"/>
                <w:sz w:val="22"/>
              </w:rPr>
              <w:t>1</w:t>
            </w:r>
          </w:p>
        </w:tc>
        <w:tc>
          <w:tcPr>
            <w:tcW w:w="159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sz w:val="22"/>
              </w:rPr>
            </w:pPr>
            <w:r>
              <w:rPr>
                <w:rFonts w:hint="eastAsia"/>
                <w:color w:val="000000"/>
                <w:sz w:val="22"/>
              </w:rPr>
              <w:t>电气类</w:t>
            </w:r>
          </w:p>
        </w:tc>
        <w:tc>
          <w:tcPr>
            <w:tcW w:w="5563"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 w:val="22"/>
              </w:rPr>
            </w:pPr>
            <w:r>
              <w:rPr>
                <w:rFonts w:hint="eastAsia"/>
                <w:color w:val="000000"/>
                <w:sz w:val="22"/>
              </w:rPr>
              <w:t>电力系统及其自动化、电气工程及其自动化、高电压与绝缘技术、输电线路工程、自动化、智能电网、智能电网信息工程</w:t>
            </w:r>
          </w:p>
        </w:tc>
        <w:tc>
          <w:tcPr>
            <w:tcW w:w="1391"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 w:val="22"/>
              </w:rPr>
            </w:pPr>
            <w:r>
              <w:rPr>
                <w:rFonts w:hint="eastAsia"/>
                <w:color w:val="000000"/>
                <w:sz w:val="22"/>
              </w:rPr>
              <w:t>本科及以上</w:t>
            </w:r>
          </w:p>
        </w:tc>
      </w:tr>
      <w:tr>
        <w:tblPrEx>
          <w:tblLayout w:type="fixed"/>
          <w:tblCellMar>
            <w:top w:w="0" w:type="dxa"/>
            <w:left w:w="108" w:type="dxa"/>
            <w:bottom w:w="0" w:type="dxa"/>
            <w:right w:w="108" w:type="dxa"/>
          </w:tblCellMar>
        </w:tblPrEx>
        <w:trPr>
          <w:trHeight w:val="394" w:hRule="atLeast"/>
          <w:jc w:val="center"/>
        </w:trPr>
        <w:tc>
          <w:tcPr>
            <w:tcW w:w="79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2"/>
              </w:rPr>
            </w:pPr>
            <w:r>
              <w:rPr>
                <w:rFonts w:hint="eastAsia"/>
                <w:color w:val="000000"/>
                <w:sz w:val="22"/>
              </w:rPr>
              <w:t>2</w:t>
            </w:r>
          </w:p>
        </w:tc>
        <w:tc>
          <w:tcPr>
            <w:tcW w:w="1592" w:type="dxa"/>
            <w:tcBorders>
              <w:top w:val="single" w:color="auto" w:sz="4" w:space="0"/>
              <w:left w:val="nil"/>
              <w:right w:val="single" w:color="auto" w:sz="4" w:space="0"/>
            </w:tcBorders>
            <w:shd w:val="clear" w:color="auto" w:fill="auto"/>
            <w:vAlign w:val="center"/>
          </w:tcPr>
          <w:p>
            <w:pPr>
              <w:jc w:val="center"/>
              <w:rPr>
                <w:rFonts w:ascii="宋体" w:hAnsi="宋体" w:cs="宋体"/>
                <w:sz w:val="22"/>
              </w:rPr>
            </w:pPr>
            <w:r>
              <w:rPr>
                <w:rFonts w:hint="eastAsia"/>
                <w:color w:val="000000"/>
                <w:sz w:val="22"/>
              </w:rPr>
              <w:t>输电运检</w:t>
            </w:r>
          </w:p>
        </w:tc>
        <w:tc>
          <w:tcPr>
            <w:tcW w:w="5563" w:type="dxa"/>
            <w:vMerge w:val="restart"/>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 w:val="22"/>
              </w:rPr>
            </w:pPr>
            <w:r>
              <w:rPr>
                <w:rFonts w:hint="eastAsia"/>
                <w:color w:val="000000"/>
                <w:sz w:val="22"/>
              </w:rPr>
              <w:t>发电厂及电力系统、电气自动化技术、供用电技术、电力系统继电保护与自动化、高压输配电线路施工运行与维护</w:t>
            </w:r>
          </w:p>
        </w:tc>
        <w:tc>
          <w:tcPr>
            <w:tcW w:w="1391" w:type="dxa"/>
            <w:vMerge w:val="restart"/>
            <w:tcBorders>
              <w:top w:val="single" w:color="auto" w:sz="4" w:space="0"/>
              <w:left w:val="nil"/>
              <w:bottom w:val="single" w:color="auto" w:sz="4" w:space="0"/>
              <w:right w:val="single" w:color="auto" w:sz="4" w:space="0"/>
            </w:tcBorders>
            <w:shd w:val="clear" w:color="auto" w:fill="auto"/>
            <w:vAlign w:val="center"/>
          </w:tcPr>
          <w:p>
            <w:pPr>
              <w:jc w:val="left"/>
              <w:rPr>
                <w:rFonts w:ascii="宋体" w:hAnsi="宋体" w:cs="宋体"/>
                <w:color w:val="000000"/>
                <w:sz w:val="22"/>
              </w:rPr>
            </w:pPr>
            <w:r>
              <w:rPr>
                <w:rFonts w:hint="eastAsia"/>
                <w:color w:val="000000"/>
                <w:sz w:val="22"/>
              </w:rPr>
              <w:t>大专及以上</w:t>
            </w:r>
          </w:p>
        </w:tc>
      </w:tr>
      <w:tr>
        <w:tblPrEx>
          <w:tblLayout w:type="fixed"/>
          <w:tblCellMar>
            <w:top w:w="0" w:type="dxa"/>
            <w:left w:w="108" w:type="dxa"/>
            <w:bottom w:w="0" w:type="dxa"/>
            <w:right w:w="108" w:type="dxa"/>
          </w:tblCellMar>
        </w:tblPrEx>
        <w:trPr>
          <w:trHeight w:val="408" w:hRule="atLeast"/>
          <w:jc w:val="center"/>
        </w:trPr>
        <w:tc>
          <w:tcPr>
            <w:tcW w:w="79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2"/>
              </w:rPr>
            </w:pPr>
            <w:r>
              <w:rPr>
                <w:rFonts w:hint="eastAsia"/>
                <w:color w:val="000000"/>
                <w:sz w:val="22"/>
              </w:rPr>
              <w:t>3</w:t>
            </w:r>
          </w:p>
        </w:tc>
        <w:tc>
          <w:tcPr>
            <w:tcW w:w="159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2"/>
              </w:rPr>
            </w:pPr>
            <w:r>
              <w:rPr>
                <w:rFonts w:hint="eastAsia"/>
                <w:color w:val="000000"/>
                <w:sz w:val="22"/>
              </w:rPr>
              <w:t>配电运检</w:t>
            </w:r>
          </w:p>
        </w:tc>
        <w:tc>
          <w:tcPr>
            <w:tcW w:w="5563" w:type="dxa"/>
            <w:vMerge w:val="continue"/>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sz w:val="22"/>
              </w:rPr>
            </w:pPr>
          </w:p>
        </w:tc>
        <w:tc>
          <w:tcPr>
            <w:tcW w:w="1391" w:type="dxa"/>
            <w:vMerge w:val="continue"/>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sz w:val="22"/>
              </w:rPr>
            </w:pPr>
          </w:p>
        </w:tc>
      </w:tr>
      <w:tr>
        <w:tblPrEx>
          <w:tblLayout w:type="fixed"/>
          <w:tblCellMar>
            <w:top w:w="0" w:type="dxa"/>
            <w:left w:w="108" w:type="dxa"/>
            <w:bottom w:w="0" w:type="dxa"/>
            <w:right w:w="108" w:type="dxa"/>
          </w:tblCellMar>
        </w:tblPrEx>
        <w:trPr>
          <w:trHeight w:val="405" w:hRule="atLeast"/>
          <w:jc w:val="center"/>
        </w:trPr>
        <w:tc>
          <w:tcPr>
            <w:tcW w:w="79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2"/>
              </w:rPr>
            </w:pPr>
            <w:r>
              <w:rPr>
                <w:rFonts w:hint="eastAsia"/>
                <w:color w:val="000000"/>
                <w:sz w:val="22"/>
              </w:rPr>
              <w:t>4</w:t>
            </w:r>
          </w:p>
        </w:tc>
        <w:tc>
          <w:tcPr>
            <w:tcW w:w="159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sz w:val="22"/>
              </w:rPr>
            </w:pPr>
            <w:r>
              <w:rPr>
                <w:rFonts w:hint="eastAsia"/>
                <w:color w:val="000000"/>
                <w:sz w:val="22"/>
              </w:rPr>
              <w:t>计算机类</w:t>
            </w:r>
          </w:p>
        </w:tc>
        <w:tc>
          <w:tcPr>
            <w:tcW w:w="5563"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 w:val="22"/>
              </w:rPr>
            </w:pPr>
            <w:r>
              <w:rPr>
                <w:rFonts w:hint="eastAsia"/>
                <w:color w:val="000000"/>
                <w:sz w:val="22"/>
              </w:rPr>
              <w:t>计算机科学与技术、网络工程、软件工程、计算机应用技术、信息安全、物联网工程</w:t>
            </w:r>
          </w:p>
        </w:tc>
        <w:tc>
          <w:tcPr>
            <w:tcW w:w="1391"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 w:val="22"/>
              </w:rPr>
            </w:pPr>
            <w:r>
              <w:rPr>
                <w:rFonts w:hint="eastAsia"/>
                <w:color w:val="000000"/>
                <w:sz w:val="22"/>
              </w:rPr>
              <w:t>本科及以上</w:t>
            </w:r>
          </w:p>
        </w:tc>
      </w:tr>
      <w:tr>
        <w:tblPrEx>
          <w:tblLayout w:type="fixed"/>
          <w:tblCellMar>
            <w:top w:w="0" w:type="dxa"/>
            <w:left w:w="108" w:type="dxa"/>
            <w:bottom w:w="0" w:type="dxa"/>
            <w:right w:w="108" w:type="dxa"/>
          </w:tblCellMar>
        </w:tblPrEx>
        <w:trPr>
          <w:trHeight w:val="405" w:hRule="atLeast"/>
          <w:jc w:val="center"/>
        </w:trPr>
        <w:tc>
          <w:tcPr>
            <w:tcW w:w="79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2"/>
              </w:rPr>
            </w:pPr>
            <w:r>
              <w:rPr>
                <w:rFonts w:hint="eastAsia"/>
                <w:color w:val="000000"/>
                <w:sz w:val="22"/>
              </w:rPr>
              <w:t>5</w:t>
            </w:r>
          </w:p>
        </w:tc>
        <w:tc>
          <w:tcPr>
            <w:tcW w:w="159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sz w:val="22"/>
              </w:rPr>
            </w:pPr>
            <w:r>
              <w:rPr>
                <w:rFonts w:hint="eastAsia"/>
                <w:color w:val="000000"/>
                <w:sz w:val="22"/>
              </w:rPr>
              <w:t>通信类</w:t>
            </w:r>
          </w:p>
        </w:tc>
        <w:tc>
          <w:tcPr>
            <w:tcW w:w="5563"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 w:val="22"/>
              </w:rPr>
            </w:pPr>
            <w:r>
              <w:rPr>
                <w:rFonts w:hint="eastAsia"/>
                <w:color w:val="000000"/>
                <w:sz w:val="22"/>
              </w:rPr>
              <w:t>通信工程、电子信息工程、通信与信息系统</w:t>
            </w:r>
          </w:p>
        </w:tc>
        <w:tc>
          <w:tcPr>
            <w:tcW w:w="1391"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 w:val="22"/>
              </w:rPr>
            </w:pPr>
            <w:r>
              <w:rPr>
                <w:rFonts w:hint="eastAsia"/>
                <w:color w:val="000000"/>
                <w:sz w:val="22"/>
              </w:rPr>
              <w:t>本科及以上</w:t>
            </w:r>
          </w:p>
        </w:tc>
      </w:tr>
      <w:tr>
        <w:tblPrEx>
          <w:tblLayout w:type="fixed"/>
          <w:tblCellMar>
            <w:top w:w="0" w:type="dxa"/>
            <w:left w:w="108" w:type="dxa"/>
            <w:bottom w:w="0" w:type="dxa"/>
            <w:right w:w="108" w:type="dxa"/>
          </w:tblCellMar>
        </w:tblPrEx>
        <w:trPr>
          <w:trHeight w:val="405" w:hRule="atLeast"/>
          <w:jc w:val="center"/>
        </w:trPr>
        <w:tc>
          <w:tcPr>
            <w:tcW w:w="79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2"/>
              </w:rPr>
            </w:pPr>
            <w:r>
              <w:rPr>
                <w:rFonts w:hint="eastAsia"/>
                <w:color w:val="000000"/>
                <w:sz w:val="22"/>
              </w:rPr>
              <w:t>6</w:t>
            </w:r>
          </w:p>
        </w:tc>
        <w:tc>
          <w:tcPr>
            <w:tcW w:w="159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sz w:val="22"/>
              </w:rPr>
            </w:pPr>
            <w:r>
              <w:rPr>
                <w:rFonts w:hint="eastAsia"/>
                <w:color w:val="000000"/>
                <w:sz w:val="22"/>
              </w:rPr>
              <w:t>机械测控类</w:t>
            </w:r>
          </w:p>
        </w:tc>
        <w:tc>
          <w:tcPr>
            <w:tcW w:w="5563"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 w:val="22"/>
              </w:rPr>
            </w:pPr>
            <w:r>
              <w:rPr>
                <w:rFonts w:hint="eastAsia"/>
                <w:color w:val="000000"/>
                <w:sz w:val="22"/>
              </w:rPr>
              <w:t>机械设计制造及其自动化、测控技术与仪器、测试计量技术及仪器、材料工程</w:t>
            </w:r>
          </w:p>
        </w:tc>
        <w:tc>
          <w:tcPr>
            <w:tcW w:w="1391"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 w:val="22"/>
              </w:rPr>
            </w:pPr>
            <w:r>
              <w:rPr>
                <w:rFonts w:hint="eastAsia"/>
                <w:color w:val="000000"/>
                <w:sz w:val="22"/>
              </w:rPr>
              <w:t>本科及以上</w:t>
            </w:r>
          </w:p>
        </w:tc>
      </w:tr>
      <w:tr>
        <w:tblPrEx>
          <w:tblLayout w:type="fixed"/>
          <w:tblCellMar>
            <w:top w:w="0" w:type="dxa"/>
            <w:left w:w="108" w:type="dxa"/>
            <w:bottom w:w="0" w:type="dxa"/>
            <w:right w:w="108" w:type="dxa"/>
          </w:tblCellMar>
        </w:tblPrEx>
        <w:trPr>
          <w:trHeight w:val="405" w:hRule="atLeast"/>
          <w:jc w:val="center"/>
        </w:trPr>
        <w:tc>
          <w:tcPr>
            <w:tcW w:w="79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sz w:val="22"/>
              </w:rPr>
            </w:pPr>
            <w:r>
              <w:rPr>
                <w:rFonts w:hint="eastAsia"/>
                <w:color w:val="000000"/>
                <w:sz w:val="22"/>
              </w:rPr>
              <w:t>7</w:t>
            </w:r>
          </w:p>
        </w:tc>
        <w:tc>
          <w:tcPr>
            <w:tcW w:w="159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sz w:val="22"/>
              </w:rPr>
            </w:pPr>
            <w:r>
              <w:rPr>
                <w:rFonts w:hint="eastAsia"/>
                <w:color w:val="000000"/>
                <w:sz w:val="22"/>
              </w:rPr>
              <w:t>环境化学类</w:t>
            </w:r>
          </w:p>
        </w:tc>
        <w:tc>
          <w:tcPr>
            <w:tcW w:w="5563"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 w:val="22"/>
              </w:rPr>
            </w:pPr>
            <w:r>
              <w:rPr>
                <w:rFonts w:hint="eastAsia"/>
                <w:color w:val="000000"/>
                <w:sz w:val="22"/>
              </w:rPr>
              <w:t>应用化学、化学</w:t>
            </w:r>
          </w:p>
        </w:tc>
        <w:tc>
          <w:tcPr>
            <w:tcW w:w="1391" w:type="dxa"/>
            <w:tcBorders>
              <w:top w:val="single" w:color="auto" w:sz="4" w:space="0"/>
              <w:left w:val="nil"/>
              <w:bottom w:val="single" w:color="auto" w:sz="4" w:space="0"/>
              <w:right w:val="single" w:color="auto" w:sz="4" w:space="0"/>
            </w:tcBorders>
            <w:shd w:val="clear" w:color="auto" w:fill="auto"/>
            <w:vAlign w:val="center"/>
          </w:tcPr>
          <w:p>
            <w:pPr>
              <w:rPr>
                <w:color w:val="000000"/>
                <w:sz w:val="22"/>
              </w:rPr>
            </w:pPr>
            <w:r>
              <w:rPr>
                <w:rFonts w:hint="eastAsia"/>
                <w:color w:val="000000"/>
                <w:sz w:val="22"/>
              </w:rPr>
              <w:t>本科及以上</w:t>
            </w:r>
          </w:p>
        </w:tc>
      </w:tr>
      <w:tr>
        <w:tblPrEx>
          <w:tblLayout w:type="fixed"/>
          <w:tblCellMar>
            <w:top w:w="0" w:type="dxa"/>
            <w:left w:w="108" w:type="dxa"/>
            <w:bottom w:w="0" w:type="dxa"/>
            <w:right w:w="108" w:type="dxa"/>
          </w:tblCellMar>
        </w:tblPrEx>
        <w:trPr>
          <w:trHeight w:val="405" w:hRule="atLeast"/>
          <w:jc w:val="center"/>
        </w:trPr>
        <w:tc>
          <w:tcPr>
            <w:tcW w:w="79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2"/>
              </w:rPr>
            </w:pPr>
            <w:r>
              <w:rPr>
                <w:rFonts w:hint="eastAsia"/>
                <w:color w:val="000000"/>
                <w:sz w:val="22"/>
              </w:rPr>
              <w:t>8</w:t>
            </w:r>
          </w:p>
        </w:tc>
        <w:tc>
          <w:tcPr>
            <w:tcW w:w="159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sz w:val="22"/>
              </w:rPr>
            </w:pPr>
            <w:r>
              <w:rPr>
                <w:rFonts w:hint="eastAsia" w:ascii="宋体" w:hAnsi="宋体" w:cs="宋体"/>
                <w:color w:val="000000"/>
                <w:sz w:val="22"/>
              </w:rPr>
              <w:t>土建水文类</w:t>
            </w:r>
          </w:p>
        </w:tc>
        <w:tc>
          <w:tcPr>
            <w:tcW w:w="5563"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 w:val="22"/>
              </w:rPr>
            </w:pPr>
            <w:r>
              <w:rPr>
                <w:rFonts w:hint="eastAsia" w:ascii="宋体" w:hAnsi="宋体" w:cs="宋体"/>
                <w:color w:val="000000"/>
                <w:sz w:val="22"/>
              </w:rPr>
              <w:t>土木工程</w:t>
            </w:r>
          </w:p>
        </w:tc>
        <w:tc>
          <w:tcPr>
            <w:tcW w:w="1391"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 w:val="22"/>
              </w:rPr>
            </w:pPr>
            <w:r>
              <w:rPr>
                <w:rFonts w:hint="eastAsia"/>
                <w:color w:val="000000"/>
                <w:sz w:val="22"/>
              </w:rPr>
              <w:t>本科及以上</w:t>
            </w:r>
          </w:p>
        </w:tc>
      </w:tr>
      <w:tr>
        <w:tblPrEx>
          <w:tblLayout w:type="fixed"/>
          <w:tblCellMar>
            <w:top w:w="0" w:type="dxa"/>
            <w:left w:w="108" w:type="dxa"/>
            <w:bottom w:w="0" w:type="dxa"/>
            <w:right w:w="108" w:type="dxa"/>
          </w:tblCellMar>
        </w:tblPrEx>
        <w:trPr>
          <w:trHeight w:val="405" w:hRule="atLeast"/>
          <w:jc w:val="center"/>
        </w:trPr>
        <w:tc>
          <w:tcPr>
            <w:tcW w:w="79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2"/>
              </w:rPr>
            </w:pPr>
            <w:r>
              <w:rPr>
                <w:rFonts w:hint="eastAsia"/>
                <w:color w:val="000000"/>
                <w:sz w:val="22"/>
              </w:rPr>
              <w:t>9</w:t>
            </w:r>
          </w:p>
        </w:tc>
        <w:tc>
          <w:tcPr>
            <w:tcW w:w="159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sz w:val="22"/>
              </w:rPr>
            </w:pPr>
            <w:r>
              <w:rPr>
                <w:rFonts w:hint="eastAsia"/>
                <w:color w:val="000000"/>
                <w:sz w:val="22"/>
              </w:rPr>
              <w:t>工程管理类</w:t>
            </w:r>
          </w:p>
        </w:tc>
        <w:tc>
          <w:tcPr>
            <w:tcW w:w="5563"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 w:val="22"/>
              </w:rPr>
            </w:pPr>
            <w:r>
              <w:rPr>
                <w:rFonts w:hint="eastAsia"/>
                <w:color w:val="000000"/>
                <w:sz w:val="22"/>
              </w:rPr>
              <w:t>工程造价</w:t>
            </w:r>
          </w:p>
        </w:tc>
        <w:tc>
          <w:tcPr>
            <w:tcW w:w="1391"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 w:val="22"/>
              </w:rPr>
            </w:pPr>
            <w:r>
              <w:rPr>
                <w:rFonts w:hint="eastAsia"/>
                <w:color w:val="000000"/>
                <w:sz w:val="22"/>
              </w:rPr>
              <w:t>本科及以上</w:t>
            </w:r>
          </w:p>
        </w:tc>
      </w:tr>
      <w:tr>
        <w:tblPrEx>
          <w:tblLayout w:type="fixed"/>
          <w:tblCellMar>
            <w:top w:w="0" w:type="dxa"/>
            <w:left w:w="108" w:type="dxa"/>
            <w:bottom w:w="0" w:type="dxa"/>
            <w:right w:w="108" w:type="dxa"/>
          </w:tblCellMar>
        </w:tblPrEx>
        <w:trPr>
          <w:trHeight w:val="405" w:hRule="atLeast"/>
          <w:jc w:val="center"/>
        </w:trPr>
        <w:tc>
          <w:tcPr>
            <w:tcW w:w="79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2"/>
              </w:rPr>
            </w:pPr>
            <w:r>
              <w:rPr>
                <w:rFonts w:hint="eastAsia"/>
                <w:color w:val="000000"/>
                <w:sz w:val="22"/>
              </w:rPr>
              <w:t>10</w:t>
            </w:r>
          </w:p>
        </w:tc>
        <w:tc>
          <w:tcPr>
            <w:tcW w:w="159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sz w:val="22"/>
              </w:rPr>
            </w:pPr>
            <w:r>
              <w:rPr>
                <w:rFonts w:hint="eastAsia"/>
                <w:color w:val="000000"/>
                <w:sz w:val="22"/>
              </w:rPr>
              <w:t>工商管理类</w:t>
            </w:r>
          </w:p>
        </w:tc>
        <w:tc>
          <w:tcPr>
            <w:tcW w:w="5563"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 w:val="22"/>
              </w:rPr>
            </w:pPr>
            <w:r>
              <w:rPr>
                <w:rFonts w:hint="eastAsia"/>
                <w:color w:val="000000"/>
                <w:sz w:val="22"/>
              </w:rPr>
              <w:t>人力资源管理</w:t>
            </w:r>
          </w:p>
        </w:tc>
        <w:tc>
          <w:tcPr>
            <w:tcW w:w="1391"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 w:val="22"/>
              </w:rPr>
            </w:pPr>
            <w:r>
              <w:rPr>
                <w:rFonts w:hint="eastAsia"/>
                <w:color w:val="000000"/>
                <w:sz w:val="22"/>
              </w:rPr>
              <w:t>本科及以上</w:t>
            </w:r>
          </w:p>
        </w:tc>
      </w:tr>
      <w:tr>
        <w:tblPrEx>
          <w:tblLayout w:type="fixed"/>
          <w:tblCellMar>
            <w:top w:w="0" w:type="dxa"/>
            <w:left w:w="108" w:type="dxa"/>
            <w:bottom w:w="0" w:type="dxa"/>
            <w:right w:w="108" w:type="dxa"/>
          </w:tblCellMar>
        </w:tblPrEx>
        <w:trPr>
          <w:trHeight w:val="405" w:hRule="atLeast"/>
          <w:jc w:val="center"/>
        </w:trPr>
        <w:tc>
          <w:tcPr>
            <w:tcW w:w="79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2"/>
              </w:rPr>
            </w:pPr>
            <w:r>
              <w:rPr>
                <w:rFonts w:hint="eastAsia"/>
                <w:color w:val="000000"/>
                <w:sz w:val="22"/>
              </w:rPr>
              <w:t>11</w:t>
            </w:r>
          </w:p>
        </w:tc>
        <w:tc>
          <w:tcPr>
            <w:tcW w:w="159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sz w:val="22"/>
              </w:rPr>
            </w:pPr>
            <w:r>
              <w:rPr>
                <w:rFonts w:hint="eastAsia"/>
                <w:color w:val="000000"/>
                <w:sz w:val="22"/>
              </w:rPr>
              <w:t>市场营销类</w:t>
            </w:r>
          </w:p>
        </w:tc>
        <w:tc>
          <w:tcPr>
            <w:tcW w:w="5563"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 w:val="22"/>
              </w:rPr>
            </w:pPr>
            <w:r>
              <w:rPr>
                <w:rFonts w:hint="eastAsia"/>
                <w:color w:val="000000"/>
                <w:sz w:val="22"/>
              </w:rPr>
              <w:t>市场营销、电力市场营销</w:t>
            </w:r>
          </w:p>
        </w:tc>
        <w:tc>
          <w:tcPr>
            <w:tcW w:w="1391"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 w:val="22"/>
              </w:rPr>
            </w:pPr>
            <w:r>
              <w:rPr>
                <w:rFonts w:hint="eastAsia"/>
                <w:color w:val="000000"/>
                <w:sz w:val="22"/>
              </w:rPr>
              <w:t>本科及以上</w:t>
            </w:r>
          </w:p>
        </w:tc>
      </w:tr>
      <w:tr>
        <w:tblPrEx>
          <w:tblLayout w:type="fixed"/>
          <w:tblCellMar>
            <w:top w:w="0" w:type="dxa"/>
            <w:left w:w="108" w:type="dxa"/>
            <w:bottom w:w="0" w:type="dxa"/>
            <w:right w:w="108" w:type="dxa"/>
          </w:tblCellMar>
        </w:tblPrEx>
        <w:trPr>
          <w:trHeight w:val="405" w:hRule="atLeast"/>
          <w:jc w:val="center"/>
        </w:trPr>
        <w:tc>
          <w:tcPr>
            <w:tcW w:w="79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2"/>
              </w:rPr>
            </w:pPr>
            <w:r>
              <w:rPr>
                <w:rFonts w:hint="eastAsia"/>
                <w:color w:val="000000"/>
                <w:sz w:val="22"/>
              </w:rPr>
              <w:t>12</w:t>
            </w:r>
          </w:p>
        </w:tc>
        <w:tc>
          <w:tcPr>
            <w:tcW w:w="159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sz w:val="22"/>
              </w:rPr>
            </w:pPr>
            <w:r>
              <w:rPr>
                <w:rFonts w:hint="eastAsia"/>
                <w:color w:val="000000"/>
                <w:sz w:val="22"/>
              </w:rPr>
              <w:t>物流管理类</w:t>
            </w:r>
          </w:p>
        </w:tc>
        <w:tc>
          <w:tcPr>
            <w:tcW w:w="5563"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 w:val="22"/>
              </w:rPr>
            </w:pPr>
            <w:r>
              <w:rPr>
                <w:rFonts w:hint="eastAsia"/>
                <w:color w:val="000000"/>
                <w:sz w:val="22"/>
              </w:rPr>
              <w:t>物流管理</w:t>
            </w:r>
          </w:p>
        </w:tc>
        <w:tc>
          <w:tcPr>
            <w:tcW w:w="1391"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 w:val="22"/>
              </w:rPr>
            </w:pPr>
            <w:r>
              <w:rPr>
                <w:rFonts w:hint="eastAsia"/>
                <w:color w:val="000000"/>
                <w:sz w:val="22"/>
              </w:rPr>
              <w:t>本科及以上</w:t>
            </w:r>
          </w:p>
        </w:tc>
      </w:tr>
      <w:tr>
        <w:tblPrEx>
          <w:tblLayout w:type="fixed"/>
          <w:tblCellMar>
            <w:top w:w="0" w:type="dxa"/>
            <w:left w:w="108" w:type="dxa"/>
            <w:bottom w:w="0" w:type="dxa"/>
            <w:right w:w="108" w:type="dxa"/>
          </w:tblCellMar>
        </w:tblPrEx>
        <w:trPr>
          <w:trHeight w:val="405" w:hRule="atLeast"/>
          <w:jc w:val="center"/>
        </w:trPr>
        <w:tc>
          <w:tcPr>
            <w:tcW w:w="79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2"/>
              </w:rPr>
            </w:pPr>
            <w:r>
              <w:rPr>
                <w:rFonts w:hint="eastAsia"/>
                <w:color w:val="000000"/>
                <w:sz w:val="22"/>
              </w:rPr>
              <w:t>13</w:t>
            </w:r>
          </w:p>
        </w:tc>
        <w:tc>
          <w:tcPr>
            <w:tcW w:w="159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sz w:val="22"/>
              </w:rPr>
            </w:pPr>
            <w:r>
              <w:rPr>
                <w:rFonts w:hint="eastAsia"/>
                <w:color w:val="000000"/>
                <w:sz w:val="22"/>
              </w:rPr>
              <w:t>财会审计类</w:t>
            </w:r>
          </w:p>
        </w:tc>
        <w:tc>
          <w:tcPr>
            <w:tcW w:w="5563"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 w:val="22"/>
              </w:rPr>
            </w:pPr>
            <w:r>
              <w:rPr>
                <w:rFonts w:hint="eastAsia"/>
                <w:color w:val="000000"/>
                <w:sz w:val="22"/>
              </w:rPr>
              <w:t>会计学、财务管理、审计学</w:t>
            </w:r>
          </w:p>
        </w:tc>
        <w:tc>
          <w:tcPr>
            <w:tcW w:w="1391"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 w:val="22"/>
              </w:rPr>
            </w:pPr>
            <w:r>
              <w:rPr>
                <w:rFonts w:hint="eastAsia"/>
                <w:color w:val="000000"/>
                <w:sz w:val="22"/>
              </w:rPr>
              <w:t>本科及以上</w:t>
            </w:r>
          </w:p>
        </w:tc>
      </w:tr>
      <w:tr>
        <w:tblPrEx>
          <w:tblLayout w:type="fixed"/>
          <w:tblCellMar>
            <w:top w:w="0" w:type="dxa"/>
            <w:left w:w="108" w:type="dxa"/>
            <w:bottom w:w="0" w:type="dxa"/>
            <w:right w:w="108" w:type="dxa"/>
          </w:tblCellMar>
        </w:tblPrEx>
        <w:trPr>
          <w:trHeight w:val="405" w:hRule="atLeast"/>
          <w:jc w:val="center"/>
        </w:trPr>
        <w:tc>
          <w:tcPr>
            <w:tcW w:w="79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2"/>
              </w:rPr>
            </w:pPr>
            <w:r>
              <w:rPr>
                <w:rFonts w:hint="eastAsia"/>
                <w:color w:val="000000"/>
                <w:sz w:val="22"/>
              </w:rPr>
              <w:t>14</w:t>
            </w:r>
          </w:p>
        </w:tc>
        <w:tc>
          <w:tcPr>
            <w:tcW w:w="159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sz w:val="22"/>
              </w:rPr>
            </w:pPr>
            <w:r>
              <w:rPr>
                <w:rFonts w:hint="eastAsia" w:ascii="宋体" w:hAnsi="宋体" w:cs="宋体"/>
                <w:color w:val="000000"/>
                <w:sz w:val="22"/>
              </w:rPr>
              <w:t>法学类</w:t>
            </w:r>
          </w:p>
        </w:tc>
        <w:tc>
          <w:tcPr>
            <w:tcW w:w="5563"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 w:val="22"/>
              </w:rPr>
            </w:pPr>
            <w:r>
              <w:rPr>
                <w:rFonts w:hint="eastAsia" w:ascii="宋体" w:hAnsi="宋体" w:cs="宋体"/>
                <w:color w:val="000000"/>
                <w:sz w:val="22"/>
              </w:rPr>
              <w:t>法学、民商法学、经济法学</w:t>
            </w:r>
          </w:p>
        </w:tc>
        <w:tc>
          <w:tcPr>
            <w:tcW w:w="1391"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 w:val="22"/>
              </w:rPr>
            </w:pPr>
            <w:r>
              <w:rPr>
                <w:rFonts w:hint="eastAsia"/>
                <w:color w:val="000000"/>
                <w:sz w:val="22"/>
              </w:rPr>
              <w:t>本科及以上</w:t>
            </w:r>
          </w:p>
        </w:tc>
      </w:tr>
      <w:tr>
        <w:tblPrEx>
          <w:tblLayout w:type="fixed"/>
          <w:tblCellMar>
            <w:top w:w="0" w:type="dxa"/>
            <w:left w:w="108" w:type="dxa"/>
            <w:bottom w:w="0" w:type="dxa"/>
            <w:right w:w="108" w:type="dxa"/>
          </w:tblCellMar>
        </w:tblPrEx>
        <w:trPr>
          <w:trHeight w:val="405" w:hRule="atLeast"/>
          <w:jc w:val="center"/>
        </w:trPr>
        <w:tc>
          <w:tcPr>
            <w:tcW w:w="79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2"/>
              </w:rPr>
            </w:pPr>
            <w:r>
              <w:rPr>
                <w:rFonts w:hint="eastAsia"/>
                <w:color w:val="000000"/>
                <w:sz w:val="22"/>
              </w:rPr>
              <w:t>15</w:t>
            </w:r>
          </w:p>
        </w:tc>
        <w:tc>
          <w:tcPr>
            <w:tcW w:w="159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sz w:val="22"/>
              </w:rPr>
            </w:pPr>
            <w:r>
              <w:rPr>
                <w:rFonts w:hint="eastAsia"/>
                <w:color w:val="000000"/>
                <w:sz w:val="22"/>
              </w:rPr>
              <w:t>新闻类</w:t>
            </w:r>
          </w:p>
        </w:tc>
        <w:tc>
          <w:tcPr>
            <w:tcW w:w="5563"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 w:val="22"/>
              </w:rPr>
            </w:pPr>
            <w:r>
              <w:rPr>
                <w:rFonts w:hint="eastAsia"/>
                <w:color w:val="000000"/>
                <w:sz w:val="22"/>
              </w:rPr>
              <w:t>新闻学、广播电视新闻学</w:t>
            </w:r>
          </w:p>
        </w:tc>
        <w:tc>
          <w:tcPr>
            <w:tcW w:w="1391"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 w:val="22"/>
              </w:rPr>
            </w:pPr>
            <w:r>
              <w:rPr>
                <w:rFonts w:hint="eastAsia"/>
                <w:color w:val="000000"/>
                <w:sz w:val="22"/>
              </w:rPr>
              <w:t>本科及以上</w:t>
            </w:r>
          </w:p>
        </w:tc>
      </w:tr>
      <w:tr>
        <w:tblPrEx>
          <w:tblLayout w:type="fixed"/>
          <w:tblCellMar>
            <w:top w:w="0" w:type="dxa"/>
            <w:left w:w="108" w:type="dxa"/>
            <w:bottom w:w="0" w:type="dxa"/>
            <w:right w:w="108" w:type="dxa"/>
          </w:tblCellMar>
        </w:tblPrEx>
        <w:trPr>
          <w:trHeight w:val="405" w:hRule="atLeast"/>
          <w:jc w:val="center"/>
        </w:trPr>
        <w:tc>
          <w:tcPr>
            <w:tcW w:w="79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sz w:val="22"/>
              </w:rPr>
            </w:pPr>
            <w:r>
              <w:rPr>
                <w:rFonts w:hint="eastAsia"/>
                <w:color w:val="000000"/>
                <w:sz w:val="22"/>
              </w:rPr>
              <w:t>16</w:t>
            </w:r>
          </w:p>
        </w:tc>
        <w:tc>
          <w:tcPr>
            <w:tcW w:w="1592"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22"/>
              </w:rPr>
            </w:pPr>
            <w:r>
              <w:rPr>
                <w:rFonts w:hint="eastAsia"/>
                <w:color w:val="000000"/>
                <w:sz w:val="22"/>
              </w:rPr>
              <w:t>语言文学类</w:t>
            </w:r>
          </w:p>
        </w:tc>
        <w:tc>
          <w:tcPr>
            <w:tcW w:w="5563" w:type="dxa"/>
            <w:tcBorders>
              <w:top w:val="single" w:color="auto" w:sz="4" w:space="0"/>
              <w:left w:val="nil"/>
              <w:bottom w:val="single" w:color="auto" w:sz="4" w:space="0"/>
              <w:right w:val="single" w:color="auto" w:sz="4" w:space="0"/>
            </w:tcBorders>
            <w:shd w:val="clear" w:color="auto" w:fill="auto"/>
            <w:vAlign w:val="center"/>
          </w:tcPr>
          <w:p>
            <w:pPr>
              <w:rPr>
                <w:color w:val="000000"/>
                <w:sz w:val="22"/>
              </w:rPr>
            </w:pPr>
            <w:r>
              <w:rPr>
                <w:rFonts w:hint="eastAsia"/>
                <w:color w:val="000000"/>
                <w:sz w:val="22"/>
              </w:rPr>
              <w:t>汉语言文学、中国现当代文学</w:t>
            </w:r>
          </w:p>
        </w:tc>
        <w:tc>
          <w:tcPr>
            <w:tcW w:w="1391" w:type="dxa"/>
            <w:tcBorders>
              <w:top w:val="single" w:color="auto" w:sz="4" w:space="0"/>
              <w:left w:val="nil"/>
              <w:bottom w:val="single" w:color="auto" w:sz="4" w:space="0"/>
              <w:right w:val="single" w:color="auto" w:sz="4" w:space="0"/>
            </w:tcBorders>
            <w:shd w:val="clear" w:color="auto" w:fill="auto"/>
            <w:vAlign w:val="center"/>
          </w:tcPr>
          <w:p>
            <w:pPr>
              <w:rPr>
                <w:color w:val="000000"/>
                <w:sz w:val="22"/>
              </w:rPr>
            </w:pPr>
            <w:r>
              <w:rPr>
                <w:rFonts w:hint="eastAsia"/>
                <w:color w:val="000000"/>
                <w:sz w:val="22"/>
              </w:rPr>
              <w:t>本科及以上</w:t>
            </w:r>
          </w:p>
        </w:tc>
      </w:tr>
      <w:tr>
        <w:tblPrEx>
          <w:tblLayout w:type="fixed"/>
          <w:tblCellMar>
            <w:top w:w="0" w:type="dxa"/>
            <w:left w:w="108" w:type="dxa"/>
            <w:bottom w:w="0" w:type="dxa"/>
            <w:right w:w="108" w:type="dxa"/>
          </w:tblCellMar>
        </w:tblPrEx>
        <w:trPr>
          <w:trHeight w:val="405" w:hRule="atLeast"/>
          <w:jc w:val="center"/>
        </w:trPr>
        <w:tc>
          <w:tcPr>
            <w:tcW w:w="79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2"/>
              </w:rPr>
            </w:pPr>
            <w:r>
              <w:rPr>
                <w:rFonts w:hint="eastAsia"/>
                <w:color w:val="000000"/>
                <w:sz w:val="22"/>
              </w:rPr>
              <w:t>17</w:t>
            </w:r>
          </w:p>
        </w:tc>
        <w:tc>
          <w:tcPr>
            <w:tcW w:w="159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sz w:val="22"/>
              </w:rPr>
            </w:pPr>
            <w:r>
              <w:rPr>
                <w:rFonts w:hint="eastAsia"/>
                <w:color w:val="000000"/>
                <w:sz w:val="22"/>
              </w:rPr>
              <w:t>其他类</w:t>
            </w:r>
          </w:p>
        </w:tc>
        <w:tc>
          <w:tcPr>
            <w:tcW w:w="5563"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 w:val="22"/>
              </w:rPr>
            </w:pPr>
            <w:r>
              <w:rPr>
                <w:rFonts w:hint="eastAsia"/>
                <w:color w:val="000000"/>
                <w:sz w:val="22"/>
              </w:rPr>
              <w:t>马克思主义哲学</w:t>
            </w:r>
          </w:p>
        </w:tc>
        <w:tc>
          <w:tcPr>
            <w:tcW w:w="1391"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 w:val="22"/>
              </w:rPr>
            </w:pPr>
            <w:r>
              <w:rPr>
                <w:rFonts w:hint="eastAsia"/>
                <w:color w:val="000000"/>
                <w:sz w:val="22"/>
              </w:rPr>
              <w:t>本科及以上</w:t>
            </w:r>
          </w:p>
        </w:tc>
      </w:tr>
    </w:tbl>
    <w:p>
      <w:pPr>
        <w:ind w:firstLine="400" w:firstLineChars="200"/>
        <w:rPr>
          <w:rFonts w:ascii="宋体" w:hAnsi="宋体" w:eastAsia="宋体" w:cs="宋体"/>
          <w:sz w:val="20"/>
          <w:szCs w:val="20"/>
        </w:rPr>
      </w:pPr>
    </w:p>
    <w:p/>
    <w:p/>
    <w:p/>
    <w:p/>
    <w:p/>
    <w:p/>
    <w:p/>
    <w:p/>
    <w:p/>
    <w:p/>
    <w:p/>
    <w:p/>
    <w:p/>
    <w:tbl>
      <w:tblPr>
        <w:tblStyle w:val="7"/>
        <w:tblW w:w="10632" w:type="dxa"/>
        <w:tblInd w:w="-1026" w:type="dxa"/>
        <w:tblLayout w:type="fixed"/>
        <w:tblCellMar>
          <w:top w:w="0" w:type="dxa"/>
          <w:left w:w="108" w:type="dxa"/>
          <w:bottom w:w="0" w:type="dxa"/>
          <w:right w:w="108" w:type="dxa"/>
        </w:tblCellMar>
      </w:tblPr>
      <w:tblGrid>
        <w:gridCol w:w="708"/>
        <w:gridCol w:w="1218"/>
        <w:gridCol w:w="201"/>
        <w:gridCol w:w="992"/>
        <w:gridCol w:w="7513"/>
      </w:tblGrid>
      <w:tr>
        <w:tblPrEx>
          <w:tblLayout w:type="fixed"/>
          <w:tblCellMar>
            <w:top w:w="0" w:type="dxa"/>
            <w:left w:w="108" w:type="dxa"/>
            <w:bottom w:w="0" w:type="dxa"/>
            <w:right w:w="108" w:type="dxa"/>
          </w:tblCellMar>
        </w:tblPrEx>
        <w:trPr>
          <w:gridAfter w:val="3"/>
          <w:wAfter w:w="8706" w:type="dxa"/>
          <w:trHeight w:val="405" w:hRule="atLeast"/>
        </w:trPr>
        <w:tc>
          <w:tcPr>
            <w:tcW w:w="1926" w:type="dxa"/>
            <w:gridSpan w:val="2"/>
            <w:tcBorders>
              <w:top w:val="nil"/>
              <w:left w:val="nil"/>
              <w:bottom w:val="nil"/>
              <w:right w:val="nil"/>
            </w:tcBorders>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 xml:space="preserve">        附件3</w:t>
            </w:r>
          </w:p>
        </w:tc>
      </w:tr>
      <w:tr>
        <w:tblPrEx>
          <w:tblLayout w:type="fixed"/>
          <w:tblCellMar>
            <w:top w:w="0" w:type="dxa"/>
            <w:left w:w="108" w:type="dxa"/>
            <w:bottom w:w="0" w:type="dxa"/>
            <w:right w:w="108" w:type="dxa"/>
          </w:tblCellMar>
        </w:tblPrEx>
        <w:trPr>
          <w:trHeight w:val="799" w:hRule="atLeast"/>
        </w:trPr>
        <w:tc>
          <w:tcPr>
            <w:tcW w:w="10632" w:type="dxa"/>
            <w:gridSpan w:val="5"/>
            <w:tcBorders>
              <w:top w:val="nil"/>
              <w:left w:val="nil"/>
              <w:bottom w:val="single" w:color="auto" w:sz="4" w:space="0"/>
              <w:right w:val="nil"/>
            </w:tcBorders>
            <w:vAlign w:val="center"/>
          </w:tcPr>
          <w:p>
            <w:pPr>
              <w:widowControl/>
              <w:jc w:val="center"/>
              <w:rPr>
                <w:rFonts w:ascii="宋体" w:hAnsi="宋体" w:cs="宋体"/>
                <w:b/>
                <w:bCs/>
                <w:kern w:val="0"/>
                <w:sz w:val="32"/>
                <w:szCs w:val="32"/>
              </w:rPr>
            </w:pPr>
            <w:r>
              <w:rPr>
                <w:rFonts w:hint="eastAsia" w:ascii="宋体" w:hAnsi="宋体" w:cs="宋体"/>
                <w:b/>
                <w:bCs/>
                <w:kern w:val="0"/>
                <w:sz w:val="32"/>
                <w:szCs w:val="32"/>
              </w:rPr>
              <w:t>海南电网有限责任公司2019年校园招聘考试大纲</w:t>
            </w:r>
          </w:p>
        </w:tc>
      </w:tr>
      <w:tr>
        <w:tblPrEx>
          <w:tblLayout w:type="fixed"/>
          <w:tblCellMar>
            <w:top w:w="0" w:type="dxa"/>
            <w:left w:w="108" w:type="dxa"/>
            <w:bottom w:w="0" w:type="dxa"/>
            <w:right w:w="108" w:type="dxa"/>
          </w:tblCellMar>
        </w:tblPrEx>
        <w:trPr>
          <w:trHeight w:val="675" w:hRule="atLeast"/>
        </w:trPr>
        <w:tc>
          <w:tcPr>
            <w:tcW w:w="10632"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8"/>
                <w:szCs w:val="28"/>
              </w:rPr>
            </w:pPr>
            <w:r>
              <w:rPr>
                <w:rFonts w:hint="eastAsia" w:ascii="宋体" w:hAnsi="宋体" w:cs="宋体"/>
                <w:b/>
                <w:bCs/>
                <w:kern w:val="0"/>
                <w:sz w:val="28"/>
                <w:szCs w:val="28"/>
              </w:rPr>
              <w:t>一、综合能力</w:t>
            </w:r>
          </w:p>
        </w:tc>
      </w:tr>
      <w:tr>
        <w:tblPrEx>
          <w:tblLayout w:type="fixed"/>
          <w:tblCellMar>
            <w:top w:w="0" w:type="dxa"/>
            <w:left w:w="108" w:type="dxa"/>
            <w:bottom w:w="0" w:type="dxa"/>
            <w:right w:w="108" w:type="dxa"/>
          </w:tblCellMar>
        </w:tblPrEx>
        <w:trPr>
          <w:trHeight w:val="585" w:hRule="atLeast"/>
        </w:trPr>
        <w:tc>
          <w:tcPr>
            <w:tcW w:w="70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序号</w:t>
            </w:r>
          </w:p>
        </w:tc>
        <w:tc>
          <w:tcPr>
            <w:tcW w:w="1419"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专业类别</w:t>
            </w:r>
          </w:p>
        </w:tc>
        <w:tc>
          <w:tcPr>
            <w:tcW w:w="8505" w:type="dxa"/>
            <w:gridSpan w:val="2"/>
            <w:tcBorders>
              <w:top w:val="nil"/>
              <w:left w:val="nil"/>
              <w:bottom w:val="single" w:color="auto" w:sz="4" w:space="0"/>
              <w:right w:val="single" w:color="auto" w:sz="4" w:space="0"/>
            </w:tcBorders>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主要知识结构</w:t>
            </w:r>
          </w:p>
        </w:tc>
      </w:tr>
      <w:tr>
        <w:tblPrEx>
          <w:tblLayout w:type="fixed"/>
          <w:tblCellMar>
            <w:top w:w="0" w:type="dxa"/>
            <w:left w:w="108" w:type="dxa"/>
            <w:bottom w:w="0" w:type="dxa"/>
            <w:right w:w="108" w:type="dxa"/>
          </w:tblCellMar>
        </w:tblPrEx>
        <w:trPr>
          <w:trHeight w:val="1320" w:hRule="atLeast"/>
        </w:trPr>
        <w:tc>
          <w:tcPr>
            <w:tcW w:w="70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1</w:t>
            </w:r>
          </w:p>
        </w:tc>
        <w:tc>
          <w:tcPr>
            <w:tcW w:w="1419" w:type="dxa"/>
            <w:gridSpan w:val="2"/>
            <w:vMerge w:val="restart"/>
            <w:tcBorders>
              <w:top w:val="single" w:color="auto" w:sz="4" w:space="0"/>
              <w:left w:val="single" w:color="auto" w:sz="4" w:space="0"/>
              <w:bottom w:val="single" w:color="000000" w:sz="4" w:space="0"/>
              <w:right w:val="single" w:color="000000"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所有专业</w:t>
            </w:r>
          </w:p>
        </w:tc>
        <w:tc>
          <w:tcPr>
            <w:tcW w:w="8505"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言语理解与表达：对语言文字的理解与表达能力</w:t>
            </w:r>
          </w:p>
        </w:tc>
      </w:tr>
      <w:tr>
        <w:tblPrEx>
          <w:tblLayout w:type="fixed"/>
          <w:tblCellMar>
            <w:top w:w="0" w:type="dxa"/>
            <w:left w:w="108" w:type="dxa"/>
            <w:bottom w:w="0" w:type="dxa"/>
            <w:right w:w="108" w:type="dxa"/>
          </w:tblCellMar>
        </w:tblPrEx>
        <w:trPr>
          <w:trHeight w:val="1320" w:hRule="atLeast"/>
        </w:trPr>
        <w:tc>
          <w:tcPr>
            <w:tcW w:w="70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2</w:t>
            </w:r>
          </w:p>
        </w:tc>
        <w:tc>
          <w:tcPr>
            <w:tcW w:w="1419"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rPr>
            </w:pPr>
          </w:p>
        </w:tc>
        <w:tc>
          <w:tcPr>
            <w:tcW w:w="8505"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数字计算与推理: 快速理解数字内在关系，解决数字相关问题的能力</w:t>
            </w:r>
          </w:p>
        </w:tc>
      </w:tr>
      <w:tr>
        <w:tblPrEx>
          <w:tblLayout w:type="fixed"/>
          <w:tblCellMar>
            <w:top w:w="0" w:type="dxa"/>
            <w:left w:w="108" w:type="dxa"/>
            <w:bottom w:w="0" w:type="dxa"/>
            <w:right w:w="108" w:type="dxa"/>
          </w:tblCellMar>
        </w:tblPrEx>
        <w:trPr>
          <w:trHeight w:val="1320" w:hRule="atLeast"/>
        </w:trPr>
        <w:tc>
          <w:tcPr>
            <w:tcW w:w="70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3</w:t>
            </w:r>
          </w:p>
        </w:tc>
        <w:tc>
          <w:tcPr>
            <w:tcW w:w="1419"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rPr>
            </w:pPr>
          </w:p>
        </w:tc>
        <w:tc>
          <w:tcPr>
            <w:tcW w:w="8505"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判断推理：根据预先提供的已知条件，通过知识、思维进行判定、推断，对事物得出自己的结论的能力</w:t>
            </w:r>
          </w:p>
        </w:tc>
      </w:tr>
      <w:tr>
        <w:tblPrEx>
          <w:tblLayout w:type="fixed"/>
          <w:tblCellMar>
            <w:top w:w="0" w:type="dxa"/>
            <w:left w:w="108" w:type="dxa"/>
            <w:bottom w:w="0" w:type="dxa"/>
            <w:right w:w="108" w:type="dxa"/>
          </w:tblCellMar>
        </w:tblPrEx>
        <w:trPr>
          <w:trHeight w:val="1320" w:hRule="atLeast"/>
        </w:trPr>
        <w:tc>
          <w:tcPr>
            <w:tcW w:w="70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4</w:t>
            </w:r>
          </w:p>
        </w:tc>
        <w:tc>
          <w:tcPr>
            <w:tcW w:w="1419"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rPr>
            </w:pPr>
          </w:p>
        </w:tc>
        <w:tc>
          <w:tcPr>
            <w:tcW w:w="8505"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资料分析：主要包括文字类资料、表格类资料、图形类资料和综合类资料四种基本形式，综合考查应试者的阅读理解、分析、计算等方面的能力</w:t>
            </w:r>
          </w:p>
        </w:tc>
      </w:tr>
      <w:tr>
        <w:tblPrEx>
          <w:tblLayout w:type="fixed"/>
          <w:tblCellMar>
            <w:top w:w="0" w:type="dxa"/>
            <w:left w:w="108" w:type="dxa"/>
            <w:bottom w:w="0" w:type="dxa"/>
            <w:right w:w="108" w:type="dxa"/>
          </w:tblCellMar>
        </w:tblPrEx>
        <w:trPr>
          <w:trHeight w:val="1320" w:hRule="atLeast"/>
        </w:trPr>
        <w:tc>
          <w:tcPr>
            <w:tcW w:w="10632"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8"/>
                <w:szCs w:val="28"/>
              </w:rPr>
            </w:pPr>
            <w:r>
              <w:rPr>
                <w:rFonts w:hint="eastAsia" w:ascii="宋体" w:hAnsi="宋体" w:cs="宋体"/>
                <w:b/>
                <w:bCs/>
                <w:kern w:val="0"/>
                <w:sz w:val="28"/>
                <w:szCs w:val="28"/>
              </w:rPr>
              <w:t>二、专业部分</w:t>
            </w:r>
          </w:p>
        </w:tc>
      </w:tr>
      <w:tr>
        <w:tblPrEx>
          <w:tblLayout w:type="fixed"/>
          <w:tblCellMar>
            <w:top w:w="0" w:type="dxa"/>
            <w:left w:w="108" w:type="dxa"/>
            <w:bottom w:w="0" w:type="dxa"/>
            <w:right w:w="108" w:type="dxa"/>
          </w:tblCellMar>
        </w:tblPrEx>
        <w:trPr>
          <w:trHeight w:val="1320" w:hRule="atLeast"/>
        </w:trPr>
        <w:tc>
          <w:tcPr>
            <w:tcW w:w="70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序号</w:t>
            </w:r>
          </w:p>
        </w:tc>
        <w:tc>
          <w:tcPr>
            <w:tcW w:w="2411"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专业类别</w:t>
            </w:r>
          </w:p>
        </w:tc>
        <w:tc>
          <w:tcPr>
            <w:tcW w:w="7513"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考试范围</w:t>
            </w:r>
          </w:p>
        </w:tc>
      </w:tr>
      <w:tr>
        <w:tblPrEx>
          <w:tblLayout w:type="fixed"/>
          <w:tblCellMar>
            <w:top w:w="0" w:type="dxa"/>
            <w:left w:w="108" w:type="dxa"/>
            <w:bottom w:w="0" w:type="dxa"/>
            <w:right w:w="108" w:type="dxa"/>
          </w:tblCellMar>
        </w:tblPrEx>
        <w:trPr>
          <w:trHeight w:val="1320" w:hRule="atLeast"/>
        </w:trPr>
        <w:tc>
          <w:tcPr>
            <w:tcW w:w="708"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1</w:t>
            </w:r>
          </w:p>
        </w:tc>
        <w:tc>
          <w:tcPr>
            <w:tcW w:w="1419"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电气类</w:t>
            </w:r>
          </w:p>
        </w:tc>
        <w:tc>
          <w:tcPr>
            <w:tcW w:w="992"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本科及以上</w:t>
            </w:r>
          </w:p>
        </w:tc>
        <w:tc>
          <w:tcPr>
            <w:tcW w:w="7513" w:type="dxa"/>
            <w:tcBorders>
              <w:top w:val="nil"/>
              <w:left w:val="nil"/>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电气工程基础、电力电子技术、电路学、电机学、计算机基础、微机原理与应用、信号与系统、自动控制理论、电力系统分析、电力系统保护与控制、电力系统继电保护与自动装置、高电压技术、电力系统自动化、配电网自动化、电气工程保护技术、输电线路设计等</w:t>
            </w:r>
          </w:p>
        </w:tc>
      </w:tr>
      <w:tr>
        <w:tblPrEx>
          <w:tblLayout w:type="fixed"/>
          <w:tblCellMar>
            <w:top w:w="0" w:type="dxa"/>
            <w:left w:w="108" w:type="dxa"/>
            <w:bottom w:w="0" w:type="dxa"/>
            <w:right w:w="108" w:type="dxa"/>
          </w:tblCellMar>
        </w:tblPrEx>
        <w:trPr>
          <w:trHeight w:val="1320" w:hRule="atLeast"/>
        </w:trPr>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rPr>
            </w:pPr>
          </w:p>
        </w:tc>
        <w:tc>
          <w:tcPr>
            <w:tcW w:w="1419"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rPr>
            </w:pPr>
          </w:p>
        </w:tc>
        <w:tc>
          <w:tcPr>
            <w:tcW w:w="992"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大专</w:t>
            </w:r>
          </w:p>
          <w:p>
            <w:pPr>
              <w:widowControl/>
              <w:jc w:val="center"/>
              <w:rPr>
                <w:rFonts w:ascii="宋体" w:hAnsi="宋体" w:cs="宋体"/>
                <w:b/>
                <w:bCs/>
                <w:kern w:val="0"/>
                <w:sz w:val="22"/>
              </w:rPr>
            </w:pPr>
            <w:r>
              <w:rPr>
                <w:rFonts w:hint="eastAsia" w:ascii="宋体" w:hAnsi="宋体" w:cs="宋体"/>
                <w:b/>
                <w:bCs/>
                <w:kern w:val="0"/>
                <w:sz w:val="22"/>
              </w:rPr>
              <w:t>（输电、配电运检）</w:t>
            </w:r>
          </w:p>
        </w:tc>
        <w:tc>
          <w:tcPr>
            <w:tcW w:w="7513" w:type="dxa"/>
            <w:tcBorders>
              <w:top w:val="nil"/>
              <w:left w:val="nil"/>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电工基础，电力系统分析、计算机基础、电力系统继电保护原理与运行、高电压及测试技术、高电压绝缘技术基础、电力系统通信技术、电力设备绝缘在线检测、电气设备运行及检修、输电线路测量、输电线路运行及检修、供用电技术、发电厂及电力系统、电气自动化技术等</w:t>
            </w:r>
          </w:p>
        </w:tc>
      </w:tr>
      <w:tr>
        <w:tblPrEx>
          <w:tblLayout w:type="fixed"/>
          <w:tblCellMar>
            <w:top w:w="0" w:type="dxa"/>
            <w:left w:w="108" w:type="dxa"/>
            <w:bottom w:w="0" w:type="dxa"/>
            <w:right w:w="108" w:type="dxa"/>
          </w:tblCellMar>
        </w:tblPrEx>
        <w:trPr>
          <w:trHeight w:val="1320" w:hRule="atLeast"/>
        </w:trPr>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2</w:t>
            </w:r>
          </w:p>
        </w:tc>
        <w:tc>
          <w:tcPr>
            <w:tcW w:w="2411"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计算机类</w:t>
            </w:r>
          </w:p>
        </w:tc>
        <w:tc>
          <w:tcPr>
            <w:tcW w:w="751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计算机组成原理、计算机系统结构、操作系统与编译原理、数据结构、数据库原理及应用、软件工程、C语言程序设计、汇编语言与接口技术、嵌入式系统、计算机网络管理、网络的组建与设计、网络工程项目管理、计算机网络安全等</w:t>
            </w:r>
          </w:p>
        </w:tc>
      </w:tr>
      <w:tr>
        <w:tblPrEx>
          <w:tblLayout w:type="fixed"/>
          <w:tblCellMar>
            <w:top w:w="0" w:type="dxa"/>
            <w:left w:w="108" w:type="dxa"/>
            <w:bottom w:w="0" w:type="dxa"/>
            <w:right w:w="108" w:type="dxa"/>
          </w:tblCellMar>
        </w:tblPrEx>
        <w:trPr>
          <w:trHeight w:val="1320" w:hRule="atLeast"/>
        </w:trPr>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3</w:t>
            </w:r>
          </w:p>
        </w:tc>
        <w:tc>
          <w:tcPr>
            <w:tcW w:w="2411"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通信类</w:t>
            </w:r>
          </w:p>
        </w:tc>
        <w:tc>
          <w:tcPr>
            <w:tcW w:w="751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通信原理、计算机基础、电路分析基础、通信网络基础、信号与系统、模拟电子技术基础、数字信号处理、数据通信网、现代交换技术、光纤传输技术、宽带接入技术等</w:t>
            </w:r>
          </w:p>
        </w:tc>
      </w:tr>
      <w:tr>
        <w:tblPrEx>
          <w:tblLayout w:type="fixed"/>
          <w:tblCellMar>
            <w:top w:w="0" w:type="dxa"/>
            <w:left w:w="108" w:type="dxa"/>
            <w:bottom w:w="0" w:type="dxa"/>
            <w:right w:w="108" w:type="dxa"/>
          </w:tblCellMar>
        </w:tblPrEx>
        <w:trPr>
          <w:trHeight w:val="1320" w:hRule="atLeast"/>
        </w:trPr>
        <w:tc>
          <w:tcPr>
            <w:tcW w:w="70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 w:val="22"/>
              </w:rPr>
            </w:pPr>
            <w:r>
              <w:rPr>
                <w:rFonts w:hint="eastAsia" w:ascii="宋体" w:hAnsi="宋体" w:cs="宋体"/>
                <w:b/>
                <w:bCs/>
                <w:color w:val="000000" w:themeColor="text1"/>
                <w:kern w:val="0"/>
                <w:sz w:val="22"/>
              </w:rPr>
              <w:t>4</w:t>
            </w:r>
          </w:p>
        </w:tc>
        <w:tc>
          <w:tcPr>
            <w:tcW w:w="2411"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themeColor="text1"/>
                <w:kern w:val="0"/>
                <w:sz w:val="22"/>
              </w:rPr>
            </w:pPr>
            <w:r>
              <w:rPr>
                <w:rFonts w:hint="eastAsia" w:ascii="宋体" w:hAnsi="宋体" w:cs="宋体"/>
                <w:b/>
                <w:bCs/>
                <w:color w:val="000000" w:themeColor="text1"/>
                <w:kern w:val="0"/>
                <w:sz w:val="22"/>
              </w:rPr>
              <w:t>机械测控类</w:t>
            </w:r>
          </w:p>
        </w:tc>
        <w:tc>
          <w:tcPr>
            <w:tcW w:w="7513" w:type="dxa"/>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rPr>
              <w:t>自动控制原理、电子技术基础、电路学、计算机基础、光学测量、精密机械设计、自控原理基础、光电检测技术、光电仪器原理与设计、信号与系统、数字电子技术、自动控制工程、机械设计基础、材料科学基础、材料现代分析与测试技术、电化学基础、材料制备与加工工艺等</w:t>
            </w:r>
          </w:p>
        </w:tc>
      </w:tr>
      <w:tr>
        <w:tblPrEx>
          <w:tblLayout w:type="fixed"/>
          <w:tblCellMar>
            <w:top w:w="0" w:type="dxa"/>
            <w:left w:w="108" w:type="dxa"/>
            <w:bottom w:w="0" w:type="dxa"/>
            <w:right w:w="108" w:type="dxa"/>
          </w:tblCellMar>
        </w:tblPrEx>
        <w:trPr>
          <w:trHeight w:val="1320" w:hRule="atLeast"/>
        </w:trPr>
        <w:tc>
          <w:tcPr>
            <w:tcW w:w="70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 w:val="22"/>
              </w:rPr>
            </w:pPr>
            <w:r>
              <w:rPr>
                <w:rFonts w:hint="eastAsia" w:ascii="宋体" w:hAnsi="宋体" w:cs="宋体"/>
                <w:b/>
                <w:bCs/>
                <w:color w:val="000000" w:themeColor="text1"/>
                <w:kern w:val="0"/>
                <w:sz w:val="22"/>
              </w:rPr>
              <w:t>5</w:t>
            </w:r>
          </w:p>
        </w:tc>
        <w:tc>
          <w:tcPr>
            <w:tcW w:w="2411"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themeColor="text1"/>
                <w:kern w:val="0"/>
                <w:sz w:val="22"/>
              </w:rPr>
            </w:pPr>
            <w:r>
              <w:rPr>
                <w:rFonts w:hint="eastAsia" w:ascii="宋体" w:hAnsi="宋体" w:cs="宋体"/>
                <w:b/>
                <w:bCs/>
                <w:color w:val="000000" w:themeColor="text1"/>
                <w:kern w:val="0"/>
                <w:sz w:val="22"/>
              </w:rPr>
              <w:t>环境化学类</w:t>
            </w:r>
          </w:p>
        </w:tc>
        <w:tc>
          <w:tcPr>
            <w:tcW w:w="7513" w:type="dxa"/>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rPr>
              <w:t>化工原理、工程力学、环境工程微生物学、环境监测、水污染控制工程、大气污染控制工程、固体废物处理与处置、物理性污染控制、环境影响评价和环境规划等</w:t>
            </w:r>
          </w:p>
        </w:tc>
      </w:tr>
      <w:tr>
        <w:tblPrEx>
          <w:tblLayout w:type="fixed"/>
          <w:tblCellMar>
            <w:top w:w="0" w:type="dxa"/>
            <w:left w:w="108" w:type="dxa"/>
            <w:bottom w:w="0" w:type="dxa"/>
            <w:right w:w="108" w:type="dxa"/>
          </w:tblCellMar>
        </w:tblPrEx>
        <w:trPr>
          <w:trHeight w:val="1320" w:hRule="atLeast"/>
        </w:trPr>
        <w:tc>
          <w:tcPr>
            <w:tcW w:w="70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6</w:t>
            </w:r>
          </w:p>
        </w:tc>
        <w:tc>
          <w:tcPr>
            <w:tcW w:w="2411"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市场营销类</w:t>
            </w:r>
          </w:p>
        </w:tc>
        <w:tc>
          <w:tcPr>
            <w:tcW w:w="7513" w:type="dxa"/>
            <w:tcBorders>
              <w:top w:val="nil"/>
              <w:left w:val="nil"/>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市场营销学、管理学、品牌管理、市场营销策划、经济法、消费者行为学、国际市场营销、市场调查与预测、微观经济学、宏观经济学、会计学基础等</w:t>
            </w:r>
          </w:p>
        </w:tc>
      </w:tr>
      <w:tr>
        <w:tblPrEx>
          <w:tblLayout w:type="fixed"/>
          <w:tblCellMar>
            <w:top w:w="0" w:type="dxa"/>
            <w:left w:w="108" w:type="dxa"/>
            <w:bottom w:w="0" w:type="dxa"/>
            <w:right w:w="108" w:type="dxa"/>
          </w:tblCellMar>
        </w:tblPrEx>
        <w:trPr>
          <w:trHeight w:val="1320" w:hRule="atLeast"/>
        </w:trPr>
        <w:tc>
          <w:tcPr>
            <w:tcW w:w="70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 w:val="22"/>
              </w:rPr>
            </w:pPr>
            <w:r>
              <w:rPr>
                <w:rFonts w:hint="eastAsia" w:ascii="宋体" w:hAnsi="宋体" w:cs="宋体"/>
                <w:b/>
                <w:bCs/>
                <w:color w:val="000000" w:themeColor="text1"/>
                <w:kern w:val="0"/>
                <w:sz w:val="22"/>
              </w:rPr>
              <w:t>7</w:t>
            </w:r>
          </w:p>
        </w:tc>
        <w:tc>
          <w:tcPr>
            <w:tcW w:w="2411"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themeColor="text1"/>
                <w:kern w:val="0"/>
                <w:sz w:val="22"/>
              </w:rPr>
            </w:pPr>
            <w:r>
              <w:rPr>
                <w:rFonts w:hint="eastAsia" w:ascii="宋体" w:hAnsi="宋体" w:cs="宋体"/>
                <w:b/>
                <w:bCs/>
                <w:color w:val="000000" w:themeColor="text1"/>
                <w:kern w:val="0"/>
                <w:sz w:val="22"/>
              </w:rPr>
              <w:t>工程管理类</w:t>
            </w:r>
          </w:p>
        </w:tc>
        <w:tc>
          <w:tcPr>
            <w:tcW w:w="7513" w:type="dxa"/>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rPr>
              <w:t>管理学原理、工程经济学、工程结构、组织行为学、计算机基础、工程项目管理、工程招标与合同管理、建筑工程计价、工程造价管理、工程成本会计学、电工学、安装工程计价与计量等</w:t>
            </w:r>
          </w:p>
        </w:tc>
      </w:tr>
      <w:tr>
        <w:tblPrEx>
          <w:tblLayout w:type="fixed"/>
          <w:tblCellMar>
            <w:top w:w="0" w:type="dxa"/>
            <w:left w:w="108" w:type="dxa"/>
            <w:bottom w:w="0" w:type="dxa"/>
            <w:right w:w="108" w:type="dxa"/>
          </w:tblCellMar>
        </w:tblPrEx>
        <w:trPr>
          <w:trHeight w:val="1320" w:hRule="atLeast"/>
        </w:trPr>
        <w:tc>
          <w:tcPr>
            <w:tcW w:w="70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 w:val="22"/>
              </w:rPr>
            </w:pPr>
            <w:r>
              <w:rPr>
                <w:rFonts w:hint="eastAsia" w:ascii="宋体" w:hAnsi="宋体" w:cs="宋体"/>
                <w:b/>
                <w:bCs/>
                <w:color w:val="000000" w:themeColor="text1"/>
                <w:kern w:val="0"/>
                <w:sz w:val="22"/>
              </w:rPr>
              <w:t>8</w:t>
            </w:r>
          </w:p>
        </w:tc>
        <w:tc>
          <w:tcPr>
            <w:tcW w:w="2411"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themeColor="text1"/>
                <w:kern w:val="0"/>
                <w:sz w:val="22"/>
              </w:rPr>
            </w:pPr>
            <w:r>
              <w:rPr>
                <w:rFonts w:hint="eastAsia" w:ascii="宋体" w:hAnsi="宋体" w:cs="宋体"/>
                <w:b/>
                <w:bCs/>
                <w:color w:val="000000" w:themeColor="text1"/>
                <w:kern w:val="0"/>
                <w:sz w:val="22"/>
              </w:rPr>
              <w:t>土建水文类</w:t>
            </w:r>
          </w:p>
        </w:tc>
        <w:tc>
          <w:tcPr>
            <w:tcW w:w="7513" w:type="dxa"/>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rPr>
              <w:t>工程经济学、理论力学、材料力学、土木工程概论、钢结构基本原理、混凝土结构设计原理、结构力学、工程地质、工程测量、土力学与基础工程、房屋建筑学、土木工程制图、流体力学、建筑材料、建筑施工技术与组织等</w:t>
            </w:r>
          </w:p>
        </w:tc>
      </w:tr>
      <w:tr>
        <w:tblPrEx>
          <w:tblLayout w:type="fixed"/>
          <w:tblCellMar>
            <w:top w:w="0" w:type="dxa"/>
            <w:left w:w="108" w:type="dxa"/>
            <w:bottom w:w="0" w:type="dxa"/>
            <w:right w:w="108" w:type="dxa"/>
          </w:tblCellMar>
        </w:tblPrEx>
        <w:trPr>
          <w:trHeight w:val="1320" w:hRule="atLeast"/>
        </w:trPr>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 w:val="22"/>
              </w:rPr>
            </w:pPr>
            <w:r>
              <w:rPr>
                <w:rFonts w:hint="eastAsia" w:ascii="宋体" w:hAnsi="宋体" w:cs="宋体"/>
                <w:b/>
                <w:bCs/>
                <w:color w:val="000000" w:themeColor="text1"/>
                <w:kern w:val="0"/>
                <w:sz w:val="22"/>
              </w:rPr>
              <w:t>9</w:t>
            </w:r>
          </w:p>
        </w:tc>
        <w:tc>
          <w:tcPr>
            <w:tcW w:w="2411"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themeColor="text1"/>
                <w:kern w:val="0"/>
                <w:sz w:val="22"/>
              </w:rPr>
            </w:pPr>
            <w:r>
              <w:rPr>
                <w:rFonts w:hint="eastAsia" w:ascii="宋体" w:hAnsi="宋体" w:cs="宋体"/>
                <w:b/>
                <w:bCs/>
                <w:color w:val="000000" w:themeColor="text1"/>
                <w:kern w:val="0"/>
                <w:sz w:val="22"/>
              </w:rPr>
              <w:t>物流管理类</w:t>
            </w:r>
          </w:p>
        </w:tc>
        <w:tc>
          <w:tcPr>
            <w:tcW w:w="751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rPr>
              <w:t>物流概论、物流规划与设计、采购与供应管理、供应链管理、运输管理、仓储管理、配送管理、库存管理、国际物流学、基础会计、计算机基础等</w:t>
            </w:r>
          </w:p>
        </w:tc>
      </w:tr>
      <w:tr>
        <w:tblPrEx>
          <w:tblLayout w:type="fixed"/>
          <w:tblCellMar>
            <w:top w:w="0" w:type="dxa"/>
            <w:left w:w="108" w:type="dxa"/>
            <w:bottom w:w="0" w:type="dxa"/>
            <w:right w:w="108" w:type="dxa"/>
          </w:tblCellMar>
        </w:tblPrEx>
        <w:trPr>
          <w:trHeight w:val="1320" w:hRule="atLeast"/>
        </w:trPr>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 w:val="22"/>
              </w:rPr>
            </w:pPr>
            <w:r>
              <w:rPr>
                <w:rFonts w:hint="eastAsia" w:ascii="宋体" w:hAnsi="宋体" w:cs="宋体"/>
                <w:b/>
                <w:bCs/>
                <w:color w:val="000000" w:themeColor="text1"/>
                <w:kern w:val="0"/>
                <w:sz w:val="22"/>
              </w:rPr>
              <w:t>10</w:t>
            </w:r>
          </w:p>
        </w:tc>
        <w:tc>
          <w:tcPr>
            <w:tcW w:w="2411"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themeColor="text1"/>
                <w:kern w:val="0"/>
                <w:sz w:val="22"/>
              </w:rPr>
            </w:pPr>
            <w:r>
              <w:rPr>
                <w:rFonts w:hint="eastAsia" w:ascii="宋体" w:hAnsi="宋体" w:cs="宋体"/>
                <w:b/>
                <w:bCs/>
                <w:color w:val="000000" w:themeColor="text1"/>
                <w:kern w:val="0"/>
                <w:sz w:val="22"/>
              </w:rPr>
              <w:t>工商管理类</w:t>
            </w:r>
          </w:p>
        </w:tc>
        <w:tc>
          <w:tcPr>
            <w:tcW w:w="751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themeColor="text1"/>
                <w:kern w:val="0"/>
                <w:sz w:val="22"/>
              </w:rPr>
            </w:pPr>
            <w:r>
              <w:rPr>
                <w:rFonts w:ascii="宋体" w:hAnsi="宋体" w:cs="宋体"/>
                <w:color w:val="000000" w:themeColor="text1"/>
                <w:kern w:val="0"/>
                <w:sz w:val="22"/>
              </w:rPr>
              <w:t>管理学</w:t>
            </w:r>
            <w:r>
              <w:rPr>
                <w:rFonts w:hint="eastAsia" w:ascii="宋体" w:hAnsi="宋体" w:cs="宋体"/>
                <w:color w:val="000000" w:themeColor="text1"/>
                <w:kern w:val="0"/>
                <w:sz w:val="22"/>
              </w:rPr>
              <w:t>、组织行为学、</w:t>
            </w:r>
            <w:r>
              <w:rPr>
                <w:rFonts w:ascii="宋体" w:hAnsi="宋体" w:cs="Arial"/>
                <w:color w:val="000000" w:themeColor="text1"/>
                <w:sz w:val="22"/>
                <w:shd w:val="clear" w:color="auto" w:fill="FFFFFF"/>
              </w:rPr>
              <w:t>人力资源管理</w:t>
            </w:r>
            <w:r>
              <w:rPr>
                <w:rFonts w:hint="eastAsia" w:ascii="宋体" w:hAnsi="宋体" w:cs="Arial"/>
                <w:color w:val="000000" w:themeColor="text1"/>
                <w:sz w:val="22"/>
                <w:shd w:val="clear" w:color="auto" w:fill="FFFFFF"/>
              </w:rPr>
              <w:t>、</w:t>
            </w:r>
            <w:r>
              <w:rPr>
                <w:rFonts w:hint="eastAsia" w:ascii="宋体" w:hAnsi="宋体"/>
                <w:color w:val="000000" w:themeColor="text1"/>
                <w:sz w:val="22"/>
                <w:shd w:val="clear" w:color="auto" w:fill="FFFFFF"/>
              </w:rPr>
              <w:t>市场营销管理、财务管理、管理信息系统、微观经济学，宏观经济学、经济法、</w:t>
            </w:r>
            <w:r>
              <w:rPr>
                <w:rFonts w:hint="eastAsia" w:ascii="宋体" w:hAnsi="宋体"/>
                <w:color w:val="000000" w:themeColor="text1"/>
                <w:sz w:val="22"/>
              </w:rPr>
              <w:t>会计学、战略管理、薪酬管理、招聘管理等</w:t>
            </w:r>
          </w:p>
        </w:tc>
      </w:tr>
      <w:tr>
        <w:tblPrEx>
          <w:tblLayout w:type="fixed"/>
          <w:tblCellMar>
            <w:top w:w="0" w:type="dxa"/>
            <w:left w:w="108" w:type="dxa"/>
            <w:bottom w:w="0" w:type="dxa"/>
            <w:right w:w="108" w:type="dxa"/>
          </w:tblCellMar>
        </w:tblPrEx>
        <w:trPr>
          <w:trHeight w:val="1320" w:hRule="atLeast"/>
        </w:trPr>
        <w:tc>
          <w:tcPr>
            <w:tcW w:w="70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11</w:t>
            </w:r>
          </w:p>
        </w:tc>
        <w:tc>
          <w:tcPr>
            <w:tcW w:w="2411"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新闻类</w:t>
            </w:r>
          </w:p>
        </w:tc>
        <w:tc>
          <w:tcPr>
            <w:tcW w:w="7513" w:type="dxa"/>
            <w:tcBorders>
              <w:top w:val="nil"/>
              <w:left w:val="nil"/>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新闻学概论、新闻采访与写作、新闻编辑与评论、基础写作、大众传播学、新闻法规与新闻职业道德、新闻摄影、广播电视学、新闻事业管理、广告学、公共关系学等</w:t>
            </w:r>
          </w:p>
        </w:tc>
      </w:tr>
      <w:tr>
        <w:tblPrEx>
          <w:tblLayout w:type="fixed"/>
          <w:tblCellMar>
            <w:top w:w="0" w:type="dxa"/>
            <w:left w:w="108" w:type="dxa"/>
            <w:bottom w:w="0" w:type="dxa"/>
            <w:right w:w="108" w:type="dxa"/>
          </w:tblCellMar>
        </w:tblPrEx>
        <w:trPr>
          <w:trHeight w:val="1320" w:hRule="atLeast"/>
        </w:trPr>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12</w:t>
            </w:r>
          </w:p>
        </w:tc>
        <w:tc>
          <w:tcPr>
            <w:tcW w:w="241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财会审计类</w:t>
            </w:r>
          </w:p>
        </w:tc>
        <w:tc>
          <w:tcPr>
            <w:tcW w:w="751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基础会计、管理会计、财务会计、审计学、审计管理学、成本会计、财务管理学、计算机基础、会计信息系统、宏观经济学、微观经济学、统计学等</w:t>
            </w:r>
          </w:p>
        </w:tc>
      </w:tr>
      <w:tr>
        <w:tblPrEx>
          <w:tblLayout w:type="fixed"/>
          <w:tblCellMar>
            <w:top w:w="0" w:type="dxa"/>
            <w:left w:w="108" w:type="dxa"/>
            <w:bottom w:w="0" w:type="dxa"/>
            <w:right w:w="108" w:type="dxa"/>
          </w:tblCellMar>
        </w:tblPrEx>
        <w:trPr>
          <w:trHeight w:val="1320" w:hRule="atLeast"/>
        </w:trPr>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13</w:t>
            </w:r>
          </w:p>
        </w:tc>
        <w:tc>
          <w:tcPr>
            <w:tcW w:w="2411"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法学类</w:t>
            </w:r>
          </w:p>
        </w:tc>
        <w:tc>
          <w:tcPr>
            <w:tcW w:w="751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法理学、中国法制史、宪法、行政法与行政诉讼法、民法、商法、知识产权法、经济法、刑法、民事诉讼法、刑事诉讼法、国际法等</w:t>
            </w:r>
          </w:p>
        </w:tc>
      </w:tr>
      <w:tr>
        <w:tblPrEx>
          <w:tblLayout w:type="fixed"/>
          <w:tblCellMar>
            <w:top w:w="0" w:type="dxa"/>
            <w:left w:w="108" w:type="dxa"/>
            <w:bottom w:w="0" w:type="dxa"/>
            <w:right w:w="108" w:type="dxa"/>
          </w:tblCellMar>
        </w:tblPrEx>
        <w:trPr>
          <w:trHeight w:val="1320" w:hRule="atLeast"/>
        </w:trPr>
        <w:tc>
          <w:tcPr>
            <w:tcW w:w="70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 w:val="22"/>
              </w:rPr>
            </w:pPr>
            <w:r>
              <w:rPr>
                <w:rFonts w:hint="eastAsia" w:ascii="宋体" w:hAnsi="宋体" w:cs="宋体"/>
                <w:b/>
                <w:bCs/>
                <w:color w:val="000000" w:themeColor="text1"/>
                <w:kern w:val="0"/>
                <w:sz w:val="22"/>
              </w:rPr>
              <w:t>14</w:t>
            </w:r>
          </w:p>
        </w:tc>
        <w:tc>
          <w:tcPr>
            <w:tcW w:w="2411"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themeColor="text1"/>
                <w:kern w:val="0"/>
                <w:sz w:val="22"/>
              </w:rPr>
            </w:pPr>
            <w:r>
              <w:rPr>
                <w:rFonts w:hint="eastAsia" w:ascii="宋体" w:hAnsi="宋体" w:cs="宋体"/>
                <w:b/>
                <w:bCs/>
                <w:color w:val="000000" w:themeColor="text1"/>
                <w:kern w:val="0"/>
                <w:sz w:val="22"/>
              </w:rPr>
              <w:t>语言文学类</w:t>
            </w:r>
          </w:p>
        </w:tc>
        <w:tc>
          <w:tcPr>
            <w:tcW w:w="7513" w:type="dxa"/>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rPr>
              <w:t>语言学概论、文学概论、语言文字信息处理、中国当代文学、马克思主义文论、现代汉语、中国古典文献学、外国文学、民间文学、汉语史、语言学史学、批评文学、文艺心理学等</w:t>
            </w:r>
          </w:p>
        </w:tc>
      </w:tr>
      <w:tr>
        <w:tblPrEx>
          <w:tblLayout w:type="fixed"/>
          <w:tblCellMar>
            <w:top w:w="0" w:type="dxa"/>
            <w:left w:w="108" w:type="dxa"/>
            <w:bottom w:w="0" w:type="dxa"/>
            <w:right w:w="108" w:type="dxa"/>
          </w:tblCellMar>
        </w:tblPrEx>
        <w:trPr>
          <w:trHeight w:val="1320" w:hRule="atLeast"/>
        </w:trPr>
        <w:tc>
          <w:tcPr>
            <w:tcW w:w="70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15</w:t>
            </w:r>
          </w:p>
        </w:tc>
        <w:tc>
          <w:tcPr>
            <w:tcW w:w="2411"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其他类</w:t>
            </w:r>
          </w:p>
        </w:tc>
        <w:tc>
          <w:tcPr>
            <w:tcW w:w="7513" w:type="dxa"/>
            <w:tcBorders>
              <w:top w:val="nil"/>
              <w:left w:val="nil"/>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马克思主义基本原理、马克思主义哲学、思想政治教育学原理、中国特色社会主义理论、中共党史、当代中国史、毛泽东思想和中国特色社会主义概论、邓小平理论、“三个代表”重要思想概论、科学发展观、习近平新时代中国特色社会主义思想等</w:t>
            </w:r>
          </w:p>
        </w:tc>
      </w:tr>
    </w:tbl>
    <w:p>
      <w:pPr>
        <w:rPr>
          <w:rFonts w:ascii="宋体" w:hAnsi="宋体"/>
          <w:sz w:val="22"/>
        </w:rPr>
      </w:pPr>
    </w:p>
    <w:p>
      <w:pPr>
        <w:rPr>
          <w:rFonts w:ascii="Times New Roman" w:hAnsi="Times New Roman"/>
          <w:szCs w:val="24"/>
        </w:rPr>
      </w:pPr>
    </w:p>
    <w:p/>
    <w:p/>
    <w:p/>
    <w:sectPr>
      <w:footerReference r:id="rId3" w:type="default"/>
      <w:footerReference r:id="rId4" w:type="even"/>
      <w:pgSz w:w="11906" w:h="16838"/>
      <w:pgMar w:top="1440" w:right="1797" w:bottom="1418"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1084" w:wrap="around" w:vAnchor="text" w:hAnchor="page" w:x="8998" w:y="2"/>
      <w:rPr>
        <w:rStyle w:val="6"/>
        <w:sz w:val="28"/>
        <w:szCs w:val="28"/>
      </w:rPr>
    </w:pPr>
    <w:r>
      <w:rPr>
        <w:rStyle w:val="6"/>
        <w:rFonts w:hint="eastAsia"/>
        <w:sz w:val="28"/>
        <w:szCs w:val="28"/>
      </w:rPr>
      <w:t>—</w:t>
    </w:r>
    <w:r>
      <w:rPr>
        <w:rStyle w:val="6"/>
        <w:sz w:val="28"/>
        <w:szCs w:val="28"/>
      </w:rPr>
      <w:fldChar w:fldCharType="begin"/>
    </w:r>
    <w:r>
      <w:rPr>
        <w:rStyle w:val="6"/>
        <w:sz w:val="28"/>
        <w:szCs w:val="28"/>
      </w:rPr>
      <w:instrText xml:space="preserve">PAGE  </w:instrText>
    </w:r>
    <w:r>
      <w:rPr>
        <w:rStyle w:val="6"/>
        <w:sz w:val="28"/>
        <w:szCs w:val="28"/>
      </w:rPr>
      <w:fldChar w:fldCharType="separate"/>
    </w:r>
    <w:r>
      <w:rPr>
        <w:rStyle w:val="6"/>
        <w:sz w:val="28"/>
        <w:szCs w:val="28"/>
      </w:rPr>
      <w:t>2</w:t>
    </w:r>
    <w:r>
      <w:rPr>
        <w:rStyle w:val="6"/>
        <w:sz w:val="28"/>
        <w:szCs w:val="28"/>
      </w:rPr>
      <w:fldChar w:fldCharType="end"/>
    </w:r>
    <w:r>
      <w:rPr>
        <w:rStyle w:val="6"/>
        <w:rFonts w:hint="eastAsia"/>
        <w:sz w:val="28"/>
        <w:szCs w:val="28"/>
      </w:rPr>
      <w:t>—</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898" w:wrap="around" w:vAnchor="text" w:hAnchor="page" w:x="1978" w:y="2"/>
      <w:rPr>
        <w:rStyle w:val="6"/>
        <w:sz w:val="28"/>
        <w:szCs w:val="28"/>
      </w:rPr>
    </w:pPr>
    <w:r>
      <w:rPr>
        <w:rStyle w:val="6"/>
        <w:rFonts w:hint="eastAsia"/>
        <w:sz w:val="28"/>
        <w:szCs w:val="28"/>
      </w:rPr>
      <w:t>—</w:t>
    </w:r>
    <w:r>
      <w:rPr>
        <w:rStyle w:val="6"/>
        <w:sz w:val="28"/>
        <w:szCs w:val="28"/>
      </w:rPr>
      <w:fldChar w:fldCharType="begin"/>
    </w:r>
    <w:r>
      <w:rPr>
        <w:rStyle w:val="6"/>
        <w:sz w:val="28"/>
        <w:szCs w:val="28"/>
      </w:rPr>
      <w:instrText xml:space="preserve">PAGE  </w:instrText>
    </w:r>
    <w:r>
      <w:rPr>
        <w:rStyle w:val="6"/>
        <w:sz w:val="28"/>
        <w:szCs w:val="28"/>
      </w:rPr>
      <w:fldChar w:fldCharType="separate"/>
    </w:r>
    <w:r>
      <w:rPr>
        <w:rStyle w:val="6"/>
        <w:sz w:val="28"/>
        <w:szCs w:val="28"/>
      </w:rPr>
      <w:t>2</w:t>
    </w:r>
    <w:r>
      <w:rPr>
        <w:rStyle w:val="6"/>
        <w:sz w:val="28"/>
        <w:szCs w:val="28"/>
      </w:rPr>
      <w:fldChar w:fldCharType="end"/>
    </w:r>
    <w:r>
      <w:rPr>
        <w:rStyle w:val="6"/>
        <w:rFonts w:hint="eastAsia"/>
        <w:sz w:val="28"/>
        <w:szCs w:val="28"/>
      </w:rPr>
      <w:t>—</w:t>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55AEF"/>
    <w:rsid w:val="00000045"/>
    <w:rsid w:val="00000840"/>
    <w:rsid w:val="00002A58"/>
    <w:rsid w:val="0000319B"/>
    <w:rsid w:val="00003AC3"/>
    <w:rsid w:val="00003ED5"/>
    <w:rsid w:val="0000417F"/>
    <w:rsid w:val="00004B3E"/>
    <w:rsid w:val="0000552B"/>
    <w:rsid w:val="00005D3B"/>
    <w:rsid w:val="00005E7E"/>
    <w:rsid w:val="00007218"/>
    <w:rsid w:val="00007A98"/>
    <w:rsid w:val="00010805"/>
    <w:rsid w:val="00011214"/>
    <w:rsid w:val="0001202A"/>
    <w:rsid w:val="00014E3F"/>
    <w:rsid w:val="000156F6"/>
    <w:rsid w:val="00016942"/>
    <w:rsid w:val="000207F5"/>
    <w:rsid w:val="00021190"/>
    <w:rsid w:val="00021C00"/>
    <w:rsid w:val="0002341A"/>
    <w:rsid w:val="00023E85"/>
    <w:rsid w:val="00024228"/>
    <w:rsid w:val="00025544"/>
    <w:rsid w:val="00025D6C"/>
    <w:rsid w:val="00027566"/>
    <w:rsid w:val="000301D1"/>
    <w:rsid w:val="00030AA9"/>
    <w:rsid w:val="00031C82"/>
    <w:rsid w:val="00032E56"/>
    <w:rsid w:val="00033B1F"/>
    <w:rsid w:val="00033B52"/>
    <w:rsid w:val="00035E14"/>
    <w:rsid w:val="00036223"/>
    <w:rsid w:val="00040AD1"/>
    <w:rsid w:val="00041CE6"/>
    <w:rsid w:val="0004250F"/>
    <w:rsid w:val="00043607"/>
    <w:rsid w:val="00046393"/>
    <w:rsid w:val="0004772E"/>
    <w:rsid w:val="00050907"/>
    <w:rsid w:val="00052990"/>
    <w:rsid w:val="000536D6"/>
    <w:rsid w:val="00054339"/>
    <w:rsid w:val="00055591"/>
    <w:rsid w:val="00057B87"/>
    <w:rsid w:val="000610DC"/>
    <w:rsid w:val="00062001"/>
    <w:rsid w:val="00063D85"/>
    <w:rsid w:val="00064C42"/>
    <w:rsid w:val="0006688E"/>
    <w:rsid w:val="000668A5"/>
    <w:rsid w:val="00067373"/>
    <w:rsid w:val="00070DBB"/>
    <w:rsid w:val="000718C4"/>
    <w:rsid w:val="0007202E"/>
    <w:rsid w:val="00072184"/>
    <w:rsid w:val="00073740"/>
    <w:rsid w:val="00073958"/>
    <w:rsid w:val="00074F0A"/>
    <w:rsid w:val="000760DA"/>
    <w:rsid w:val="0007741E"/>
    <w:rsid w:val="000776F2"/>
    <w:rsid w:val="0007787A"/>
    <w:rsid w:val="00082A35"/>
    <w:rsid w:val="00082AB9"/>
    <w:rsid w:val="0008347A"/>
    <w:rsid w:val="00083915"/>
    <w:rsid w:val="0008391C"/>
    <w:rsid w:val="000862E0"/>
    <w:rsid w:val="000900CC"/>
    <w:rsid w:val="0009058F"/>
    <w:rsid w:val="0009193F"/>
    <w:rsid w:val="00091A65"/>
    <w:rsid w:val="00091AC2"/>
    <w:rsid w:val="00091CC0"/>
    <w:rsid w:val="00092119"/>
    <w:rsid w:val="0009267F"/>
    <w:rsid w:val="00092AC4"/>
    <w:rsid w:val="00092C49"/>
    <w:rsid w:val="00093045"/>
    <w:rsid w:val="00093D42"/>
    <w:rsid w:val="00095418"/>
    <w:rsid w:val="000972CF"/>
    <w:rsid w:val="000A1618"/>
    <w:rsid w:val="000A499C"/>
    <w:rsid w:val="000A642F"/>
    <w:rsid w:val="000B048E"/>
    <w:rsid w:val="000B061F"/>
    <w:rsid w:val="000B09D7"/>
    <w:rsid w:val="000B16CE"/>
    <w:rsid w:val="000B16D4"/>
    <w:rsid w:val="000B188B"/>
    <w:rsid w:val="000B1F9F"/>
    <w:rsid w:val="000B423D"/>
    <w:rsid w:val="000B5A8E"/>
    <w:rsid w:val="000B6891"/>
    <w:rsid w:val="000B698E"/>
    <w:rsid w:val="000B72EE"/>
    <w:rsid w:val="000B797A"/>
    <w:rsid w:val="000B7ACD"/>
    <w:rsid w:val="000B7EA3"/>
    <w:rsid w:val="000C16A0"/>
    <w:rsid w:val="000C24DD"/>
    <w:rsid w:val="000C4708"/>
    <w:rsid w:val="000C4DFE"/>
    <w:rsid w:val="000C60E5"/>
    <w:rsid w:val="000D0DBA"/>
    <w:rsid w:val="000D1D2B"/>
    <w:rsid w:val="000D2ADC"/>
    <w:rsid w:val="000D3F83"/>
    <w:rsid w:val="000D6D3F"/>
    <w:rsid w:val="000E0361"/>
    <w:rsid w:val="000E0FA3"/>
    <w:rsid w:val="000E12CD"/>
    <w:rsid w:val="000E2A98"/>
    <w:rsid w:val="000E4CBE"/>
    <w:rsid w:val="000E5B0C"/>
    <w:rsid w:val="000E709C"/>
    <w:rsid w:val="000F2E35"/>
    <w:rsid w:val="000F33E8"/>
    <w:rsid w:val="000F4D33"/>
    <w:rsid w:val="000F6F12"/>
    <w:rsid w:val="001001FD"/>
    <w:rsid w:val="00100E3F"/>
    <w:rsid w:val="0010176F"/>
    <w:rsid w:val="00103D2B"/>
    <w:rsid w:val="001048CC"/>
    <w:rsid w:val="00104AC4"/>
    <w:rsid w:val="00104BC1"/>
    <w:rsid w:val="00105463"/>
    <w:rsid w:val="00105C49"/>
    <w:rsid w:val="001067BB"/>
    <w:rsid w:val="00106E13"/>
    <w:rsid w:val="00107366"/>
    <w:rsid w:val="00107F78"/>
    <w:rsid w:val="00111092"/>
    <w:rsid w:val="0011136E"/>
    <w:rsid w:val="00112CEA"/>
    <w:rsid w:val="001131E9"/>
    <w:rsid w:val="00115879"/>
    <w:rsid w:val="00115B36"/>
    <w:rsid w:val="00115D90"/>
    <w:rsid w:val="00120259"/>
    <w:rsid w:val="001202B6"/>
    <w:rsid w:val="0012042D"/>
    <w:rsid w:val="001226BD"/>
    <w:rsid w:val="001234D0"/>
    <w:rsid w:val="0012414A"/>
    <w:rsid w:val="00124F85"/>
    <w:rsid w:val="00125110"/>
    <w:rsid w:val="00126931"/>
    <w:rsid w:val="00126B29"/>
    <w:rsid w:val="00126C09"/>
    <w:rsid w:val="00127056"/>
    <w:rsid w:val="00127A35"/>
    <w:rsid w:val="00135EEB"/>
    <w:rsid w:val="00137354"/>
    <w:rsid w:val="0014036C"/>
    <w:rsid w:val="00141CA3"/>
    <w:rsid w:val="00143528"/>
    <w:rsid w:val="001443E8"/>
    <w:rsid w:val="00144986"/>
    <w:rsid w:val="00145639"/>
    <w:rsid w:val="0014617F"/>
    <w:rsid w:val="00146855"/>
    <w:rsid w:val="001479C6"/>
    <w:rsid w:val="00151CB6"/>
    <w:rsid w:val="00152811"/>
    <w:rsid w:val="001535E1"/>
    <w:rsid w:val="00153FA4"/>
    <w:rsid w:val="00155BF4"/>
    <w:rsid w:val="001566AB"/>
    <w:rsid w:val="00160A1E"/>
    <w:rsid w:val="001619D9"/>
    <w:rsid w:val="00163A08"/>
    <w:rsid w:val="00164068"/>
    <w:rsid w:val="00164CC6"/>
    <w:rsid w:val="00165EB2"/>
    <w:rsid w:val="00166770"/>
    <w:rsid w:val="00167A6A"/>
    <w:rsid w:val="00167E62"/>
    <w:rsid w:val="00170072"/>
    <w:rsid w:val="0017294B"/>
    <w:rsid w:val="0017561C"/>
    <w:rsid w:val="0017679E"/>
    <w:rsid w:val="00177751"/>
    <w:rsid w:val="001778BB"/>
    <w:rsid w:val="00177FA3"/>
    <w:rsid w:val="00180BE5"/>
    <w:rsid w:val="00180E82"/>
    <w:rsid w:val="00181AAF"/>
    <w:rsid w:val="00181E74"/>
    <w:rsid w:val="00182632"/>
    <w:rsid w:val="0018265D"/>
    <w:rsid w:val="00184315"/>
    <w:rsid w:val="0018641E"/>
    <w:rsid w:val="001871E4"/>
    <w:rsid w:val="00191D9D"/>
    <w:rsid w:val="00192705"/>
    <w:rsid w:val="001937D1"/>
    <w:rsid w:val="0019628D"/>
    <w:rsid w:val="00196E88"/>
    <w:rsid w:val="00197772"/>
    <w:rsid w:val="001A042D"/>
    <w:rsid w:val="001A073D"/>
    <w:rsid w:val="001A1541"/>
    <w:rsid w:val="001A1988"/>
    <w:rsid w:val="001A3E16"/>
    <w:rsid w:val="001A5053"/>
    <w:rsid w:val="001A5F4A"/>
    <w:rsid w:val="001A6572"/>
    <w:rsid w:val="001B00F5"/>
    <w:rsid w:val="001B0B5E"/>
    <w:rsid w:val="001B2C33"/>
    <w:rsid w:val="001B3CC2"/>
    <w:rsid w:val="001B3D5F"/>
    <w:rsid w:val="001B6DA2"/>
    <w:rsid w:val="001B792D"/>
    <w:rsid w:val="001C055B"/>
    <w:rsid w:val="001C05D4"/>
    <w:rsid w:val="001C0652"/>
    <w:rsid w:val="001C0DDF"/>
    <w:rsid w:val="001C1FB9"/>
    <w:rsid w:val="001C244E"/>
    <w:rsid w:val="001C257D"/>
    <w:rsid w:val="001C4508"/>
    <w:rsid w:val="001C5229"/>
    <w:rsid w:val="001C5BFF"/>
    <w:rsid w:val="001C784D"/>
    <w:rsid w:val="001C7DEE"/>
    <w:rsid w:val="001D2006"/>
    <w:rsid w:val="001D4FC1"/>
    <w:rsid w:val="001D7C12"/>
    <w:rsid w:val="001E148D"/>
    <w:rsid w:val="001E1FEB"/>
    <w:rsid w:val="001E264E"/>
    <w:rsid w:val="001E298A"/>
    <w:rsid w:val="001E38AB"/>
    <w:rsid w:val="001E4168"/>
    <w:rsid w:val="001E558C"/>
    <w:rsid w:val="001F3057"/>
    <w:rsid w:val="001F6A91"/>
    <w:rsid w:val="001F70F8"/>
    <w:rsid w:val="001F7581"/>
    <w:rsid w:val="001F7F5B"/>
    <w:rsid w:val="002014B1"/>
    <w:rsid w:val="00201633"/>
    <w:rsid w:val="00202E4A"/>
    <w:rsid w:val="0020339D"/>
    <w:rsid w:val="00204769"/>
    <w:rsid w:val="00206B2F"/>
    <w:rsid w:val="00210E4B"/>
    <w:rsid w:val="00211289"/>
    <w:rsid w:val="002112E7"/>
    <w:rsid w:val="0021191D"/>
    <w:rsid w:val="00211D48"/>
    <w:rsid w:val="00212656"/>
    <w:rsid w:val="00213FD3"/>
    <w:rsid w:val="00214ACC"/>
    <w:rsid w:val="0021608C"/>
    <w:rsid w:val="00216CA4"/>
    <w:rsid w:val="002205AC"/>
    <w:rsid w:val="00222310"/>
    <w:rsid w:val="00223A5C"/>
    <w:rsid w:val="00224B7E"/>
    <w:rsid w:val="00226B8F"/>
    <w:rsid w:val="00230127"/>
    <w:rsid w:val="00230F55"/>
    <w:rsid w:val="002311FB"/>
    <w:rsid w:val="002314D1"/>
    <w:rsid w:val="002326A2"/>
    <w:rsid w:val="002326FA"/>
    <w:rsid w:val="00232A55"/>
    <w:rsid w:val="00232F3E"/>
    <w:rsid w:val="002334CA"/>
    <w:rsid w:val="002337B7"/>
    <w:rsid w:val="00234778"/>
    <w:rsid w:val="00240942"/>
    <w:rsid w:val="00241E84"/>
    <w:rsid w:val="00241FC8"/>
    <w:rsid w:val="00242882"/>
    <w:rsid w:val="00244043"/>
    <w:rsid w:val="00244DA9"/>
    <w:rsid w:val="00245706"/>
    <w:rsid w:val="00245B04"/>
    <w:rsid w:val="00247312"/>
    <w:rsid w:val="00247E96"/>
    <w:rsid w:val="002505BF"/>
    <w:rsid w:val="0025246A"/>
    <w:rsid w:val="00252AC6"/>
    <w:rsid w:val="00254193"/>
    <w:rsid w:val="0025429F"/>
    <w:rsid w:val="00256A80"/>
    <w:rsid w:val="002571A0"/>
    <w:rsid w:val="00260759"/>
    <w:rsid w:val="00261478"/>
    <w:rsid w:val="00261B99"/>
    <w:rsid w:val="00263C5F"/>
    <w:rsid w:val="00264E54"/>
    <w:rsid w:val="00265691"/>
    <w:rsid w:val="00265EE3"/>
    <w:rsid w:val="00271591"/>
    <w:rsid w:val="00271AA1"/>
    <w:rsid w:val="0027216A"/>
    <w:rsid w:val="00272579"/>
    <w:rsid w:val="00272779"/>
    <w:rsid w:val="00273C0B"/>
    <w:rsid w:val="002741D5"/>
    <w:rsid w:val="002743B6"/>
    <w:rsid w:val="002747B9"/>
    <w:rsid w:val="00274BD8"/>
    <w:rsid w:val="00275196"/>
    <w:rsid w:val="00282E05"/>
    <w:rsid w:val="00284B11"/>
    <w:rsid w:val="00285C86"/>
    <w:rsid w:val="00286C02"/>
    <w:rsid w:val="002870FC"/>
    <w:rsid w:val="002872F8"/>
    <w:rsid w:val="00287FC0"/>
    <w:rsid w:val="00291AD8"/>
    <w:rsid w:val="002925B0"/>
    <w:rsid w:val="0029462E"/>
    <w:rsid w:val="0029569D"/>
    <w:rsid w:val="00296C2A"/>
    <w:rsid w:val="00296C94"/>
    <w:rsid w:val="00296F9A"/>
    <w:rsid w:val="002A175A"/>
    <w:rsid w:val="002A3E5B"/>
    <w:rsid w:val="002A4A58"/>
    <w:rsid w:val="002A6C4D"/>
    <w:rsid w:val="002A7BEB"/>
    <w:rsid w:val="002B1111"/>
    <w:rsid w:val="002B367A"/>
    <w:rsid w:val="002B467D"/>
    <w:rsid w:val="002B4B1B"/>
    <w:rsid w:val="002B4F95"/>
    <w:rsid w:val="002B58ED"/>
    <w:rsid w:val="002B6C1B"/>
    <w:rsid w:val="002C0723"/>
    <w:rsid w:val="002C0823"/>
    <w:rsid w:val="002C0854"/>
    <w:rsid w:val="002C1061"/>
    <w:rsid w:val="002C32AB"/>
    <w:rsid w:val="002C3534"/>
    <w:rsid w:val="002C35E6"/>
    <w:rsid w:val="002C50F6"/>
    <w:rsid w:val="002D2301"/>
    <w:rsid w:val="002D31DE"/>
    <w:rsid w:val="002D3FBA"/>
    <w:rsid w:val="002D5F44"/>
    <w:rsid w:val="002D6244"/>
    <w:rsid w:val="002D6300"/>
    <w:rsid w:val="002D755B"/>
    <w:rsid w:val="002E0396"/>
    <w:rsid w:val="002E2213"/>
    <w:rsid w:val="002E2807"/>
    <w:rsid w:val="002E301A"/>
    <w:rsid w:val="002E31BA"/>
    <w:rsid w:val="002E3C9F"/>
    <w:rsid w:val="002E5102"/>
    <w:rsid w:val="002E7E29"/>
    <w:rsid w:val="002F00B2"/>
    <w:rsid w:val="002F02EA"/>
    <w:rsid w:val="002F3A93"/>
    <w:rsid w:val="002F6E30"/>
    <w:rsid w:val="00301278"/>
    <w:rsid w:val="00302C3D"/>
    <w:rsid w:val="0030423C"/>
    <w:rsid w:val="00304B62"/>
    <w:rsid w:val="0031095A"/>
    <w:rsid w:val="003109BC"/>
    <w:rsid w:val="00311D86"/>
    <w:rsid w:val="00312063"/>
    <w:rsid w:val="00312318"/>
    <w:rsid w:val="00313E67"/>
    <w:rsid w:val="0031486C"/>
    <w:rsid w:val="00316A97"/>
    <w:rsid w:val="0032042C"/>
    <w:rsid w:val="0032114D"/>
    <w:rsid w:val="0032213F"/>
    <w:rsid w:val="0032228B"/>
    <w:rsid w:val="003226E5"/>
    <w:rsid w:val="00323DAF"/>
    <w:rsid w:val="00325365"/>
    <w:rsid w:val="00326FE0"/>
    <w:rsid w:val="003304C4"/>
    <w:rsid w:val="00330799"/>
    <w:rsid w:val="003313B1"/>
    <w:rsid w:val="00332CF7"/>
    <w:rsid w:val="00333374"/>
    <w:rsid w:val="00333D7E"/>
    <w:rsid w:val="00333E88"/>
    <w:rsid w:val="003350D9"/>
    <w:rsid w:val="003362AB"/>
    <w:rsid w:val="0033656A"/>
    <w:rsid w:val="00336BC9"/>
    <w:rsid w:val="00340B82"/>
    <w:rsid w:val="0034206C"/>
    <w:rsid w:val="003426C4"/>
    <w:rsid w:val="003429DC"/>
    <w:rsid w:val="00343239"/>
    <w:rsid w:val="00343999"/>
    <w:rsid w:val="00345062"/>
    <w:rsid w:val="00345269"/>
    <w:rsid w:val="00345DD3"/>
    <w:rsid w:val="00345F2F"/>
    <w:rsid w:val="00346414"/>
    <w:rsid w:val="00346751"/>
    <w:rsid w:val="00346E11"/>
    <w:rsid w:val="0035155A"/>
    <w:rsid w:val="00352B3D"/>
    <w:rsid w:val="00353008"/>
    <w:rsid w:val="003538BC"/>
    <w:rsid w:val="00353950"/>
    <w:rsid w:val="00354032"/>
    <w:rsid w:val="0035598D"/>
    <w:rsid w:val="00360741"/>
    <w:rsid w:val="00361293"/>
    <w:rsid w:val="00361D3A"/>
    <w:rsid w:val="0036237A"/>
    <w:rsid w:val="003628FE"/>
    <w:rsid w:val="00363E00"/>
    <w:rsid w:val="003640C0"/>
    <w:rsid w:val="00364ECB"/>
    <w:rsid w:val="003656E1"/>
    <w:rsid w:val="0037034E"/>
    <w:rsid w:val="003705EF"/>
    <w:rsid w:val="00372E2D"/>
    <w:rsid w:val="00373E1C"/>
    <w:rsid w:val="00373E52"/>
    <w:rsid w:val="00373E95"/>
    <w:rsid w:val="0037545A"/>
    <w:rsid w:val="003756D6"/>
    <w:rsid w:val="00376D4D"/>
    <w:rsid w:val="00380395"/>
    <w:rsid w:val="00382FB7"/>
    <w:rsid w:val="003835A7"/>
    <w:rsid w:val="0038591E"/>
    <w:rsid w:val="003862DD"/>
    <w:rsid w:val="00386E5F"/>
    <w:rsid w:val="003874CA"/>
    <w:rsid w:val="0038798D"/>
    <w:rsid w:val="00390459"/>
    <w:rsid w:val="00390B78"/>
    <w:rsid w:val="00391113"/>
    <w:rsid w:val="0039222A"/>
    <w:rsid w:val="003929E3"/>
    <w:rsid w:val="0039308B"/>
    <w:rsid w:val="00394F93"/>
    <w:rsid w:val="00395A91"/>
    <w:rsid w:val="00397851"/>
    <w:rsid w:val="00397B17"/>
    <w:rsid w:val="003A0731"/>
    <w:rsid w:val="003A1C79"/>
    <w:rsid w:val="003A239D"/>
    <w:rsid w:val="003A263B"/>
    <w:rsid w:val="003A275B"/>
    <w:rsid w:val="003A27BA"/>
    <w:rsid w:val="003A295B"/>
    <w:rsid w:val="003A396F"/>
    <w:rsid w:val="003B0277"/>
    <w:rsid w:val="003B148D"/>
    <w:rsid w:val="003B1599"/>
    <w:rsid w:val="003B27F5"/>
    <w:rsid w:val="003B3A20"/>
    <w:rsid w:val="003B3B2D"/>
    <w:rsid w:val="003B41F4"/>
    <w:rsid w:val="003B4603"/>
    <w:rsid w:val="003B4736"/>
    <w:rsid w:val="003B4B99"/>
    <w:rsid w:val="003B5C72"/>
    <w:rsid w:val="003B616D"/>
    <w:rsid w:val="003B75FD"/>
    <w:rsid w:val="003C0A4E"/>
    <w:rsid w:val="003C2966"/>
    <w:rsid w:val="003C3BEC"/>
    <w:rsid w:val="003C441B"/>
    <w:rsid w:val="003C6069"/>
    <w:rsid w:val="003C6E65"/>
    <w:rsid w:val="003C7F6D"/>
    <w:rsid w:val="003D238B"/>
    <w:rsid w:val="003D2B7A"/>
    <w:rsid w:val="003D2F02"/>
    <w:rsid w:val="003D44A5"/>
    <w:rsid w:val="003D489B"/>
    <w:rsid w:val="003D4F9E"/>
    <w:rsid w:val="003D5597"/>
    <w:rsid w:val="003D6866"/>
    <w:rsid w:val="003D7239"/>
    <w:rsid w:val="003E227D"/>
    <w:rsid w:val="003E24D2"/>
    <w:rsid w:val="003E350E"/>
    <w:rsid w:val="003E3BAD"/>
    <w:rsid w:val="003E4915"/>
    <w:rsid w:val="003E562A"/>
    <w:rsid w:val="003E6AEC"/>
    <w:rsid w:val="003F14D0"/>
    <w:rsid w:val="003F1588"/>
    <w:rsid w:val="003F2867"/>
    <w:rsid w:val="003F2A03"/>
    <w:rsid w:val="003F4928"/>
    <w:rsid w:val="003F54A8"/>
    <w:rsid w:val="003F6171"/>
    <w:rsid w:val="003F6EA9"/>
    <w:rsid w:val="003F7906"/>
    <w:rsid w:val="0040149D"/>
    <w:rsid w:val="0040187E"/>
    <w:rsid w:val="00401C3A"/>
    <w:rsid w:val="00401F1A"/>
    <w:rsid w:val="00402518"/>
    <w:rsid w:val="00403AC9"/>
    <w:rsid w:val="0040603E"/>
    <w:rsid w:val="004070D1"/>
    <w:rsid w:val="00407322"/>
    <w:rsid w:val="004073AD"/>
    <w:rsid w:val="00407D61"/>
    <w:rsid w:val="00410BB1"/>
    <w:rsid w:val="00411CE0"/>
    <w:rsid w:val="00413FA6"/>
    <w:rsid w:val="00414879"/>
    <w:rsid w:val="0041520A"/>
    <w:rsid w:val="0041527B"/>
    <w:rsid w:val="0041531A"/>
    <w:rsid w:val="0041609F"/>
    <w:rsid w:val="00416F1C"/>
    <w:rsid w:val="00417823"/>
    <w:rsid w:val="00420961"/>
    <w:rsid w:val="00420CB8"/>
    <w:rsid w:val="0042253A"/>
    <w:rsid w:val="0042258E"/>
    <w:rsid w:val="00422D34"/>
    <w:rsid w:val="00422F4F"/>
    <w:rsid w:val="004256D9"/>
    <w:rsid w:val="00427DC5"/>
    <w:rsid w:val="0043188A"/>
    <w:rsid w:val="00431DDE"/>
    <w:rsid w:val="00433F05"/>
    <w:rsid w:val="00434097"/>
    <w:rsid w:val="00434DB1"/>
    <w:rsid w:val="004350A5"/>
    <w:rsid w:val="00435537"/>
    <w:rsid w:val="00435769"/>
    <w:rsid w:val="00435D68"/>
    <w:rsid w:val="004361F0"/>
    <w:rsid w:val="00437457"/>
    <w:rsid w:val="00437A18"/>
    <w:rsid w:val="00442255"/>
    <w:rsid w:val="004428F6"/>
    <w:rsid w:val="00443070"/>
    <w:rsid w:val="00445379"/>
    <w:rsid w:val="004461B7"/>
    <w:rsid w:val="004512DF"/>
    <w:rsid w:val="0045320E"/>
    <w:rsid w:val="00453A68"/>
    <w:rsid w:val="004548C6"/>
    <w:rsid w:val="00454EAE"/>
    <w:rsid w:val="00454F5E"/>
    <w:rsid w:val="00455AEF"/>
    <w:rsid w:val="00456571"/>
    <w:rsid w:val="00456D1C"/>
    <w:rsid w:val="00460CD0"/>
    <w:rsid w:val="00461065"/>
    <w:rsid w:val="00461EC8"/>
    <w:rsid w:val="00461ECE"/>
    <w:rsid w:val="00461FAB"/>
    <w:rsid w:val="004661CF"/>
    <w:rsid w:val="004704F7"/>
    <w:rsid w:val="00471604"/>
    <w:rsid w:val="0047353C"/>
    <w:rsid w:val="00474058"/>
    <w:rsid w:val="004748D7"/>
    <w:rsid w:val="00476F90"/>
    <w:rsid w:val="00477874"/>
    <w:rsid w:val="0048182F"/>
    <w:rsid w:val="004820D0"/>
    <w:rsid w:val="00482342"/>
    <w:rsid w:val="00482E75"/>
    <w:rsid w:val="00484162"/>
    <w:rsid w:val="00484410"/>
    <w:rsid w:val="00484BF9"/>
    <w:rsid w:val="00485110"/>
    <w:rsid w:val="00485AD8"/>
    <w:rsid w:val="00485C59"/>
    <w:rsid w:val="00487BC3"/>
    <w:rsid w:val="00490731"/>
    <w:rsid w:val="004918CF"/>
    <w:rsid w:val="00496F48"/>
    <w:rsid w:val="004974BE"/>
    <w:rsid w:val="00497A23"/>
    <w:rsid w:val="004A1BA2"/>
    <w:rsid w:val="004A1BF3"/>
    <w:rsid w:val="004A1DA2"/>
    <w:rsid w:val="004A489A"/>
    <w:rsid w:val="004A5318"/>
    <w:rsid w:val="004A6133"/>
    <w:rsid w:val="004A690D"/>
    <w:rsid w:val="004A6C14"/>
    <w:rsid w:val="004B0D03"/>
    <w:rsid w:val="004B0E2C"/>
    <w:rsid w:val="004B18FE"/>
    <w:rsid w:val="004B44E9"/>
    <w:rsid w:val="004B509F"/>
    <w:rsid w:val="004B57F1"/>
    <w:rsid w:val="004B5A9C"/>
    <w:rsid w:val="004C0264"/>
    <w:rsid w:val="004C2EA0"/>
    <w:rsid w:val="004C354E"/>
    <w:rsid w:val="004C4167"/>
    <w:rsid w:val="004C4796"/>
    <w:rsid w:val="004C4E3E"/>
    <w:rsid w:val="004C5F2F"/>
    <w:rsid w:val="004C64C7"/>
    <w:rsid w:val="004C6A34"/>
    <w:rsid w:val="004C6FD7"/>
    <w:rsid w:val="004C705F"/>
    <w:rsid w:val="004C70B2"/>
    <w:rsid w:val="004C785D"/>
    <w:rsid w:val="004D1A94"/>
    <w:rsid w:val="004D1B85"/>
    <w:rsid w:val="004D1CA2"/>
    <w:rsid w:val="004D2E77"/>
    <w:rsid w:val="004D31AC"/>
    <w:rsid w:val="004D40E0"/>
    <w:rsid w:val="004D4110"/>
    <w:rsid w:val="004D56F9"/>
    <w:rsid w:val="004D70B0"/>
    <w:rsid w:val="004D725F"/>
    <w:rsid w:val="004E179C"/>
    <w:rsid w:val="004E2074"/>
    <w:rsid w:val="004E3FB9"/>
    <w:rsid w:val="004E424D"/>
    <w:rsid w:val="004E42BD"/>
    <w:rsid w:val="004E5FB0"/>
    <w:rsid w:val="004E62E8"/>
    <w:rsid w:val="004E638D"/>
    <w:rsid w:val="004E678F"/>
    <w:rsid w:val="004E7200"/>
    <w:rsid w:val="004F2C89"/>
    <w:rsid w:val="004F3045"/>
    <w:rsid w:val="004F60FD"/>
    <w:rsid w:val="0050029A"/>
    <w:rsid w:val="00501A7B"/>
    <w:rsid w:val="0050204E"/>
    <w:rsid w:val="00502EFF"/>
    <w:rsid w:val="00505410"/>
    <w:rsid w:val="00506063"/>
    <w:rsid w:val="00506745"/>
    <w:rsid w:val="00506A21"/>
    <w:rsid w:val="00506CF8"/>
    <w:rsid w:val="00506D84"/>
    <w:rsid w:val="005074C2"/>
    <w:rsid w:val="00507C36"/>
    <w:rsid w:val="005100D6"/>
    <w:rsid w:val="00511141"/>
    <w:rsid w:val="005131A7"/>
    <w:rsid w:val="00513B0D"/>
    <w:rsid w:val="005149E4"/>
    <w:rsid w:val="005152BF"/>
    <w:rsid w:val="00515CFD"/>
    <w:rsid w:val="00521338"/>
    <w:rsid w:val="00521391"/>
    <w:rsid w:val="00521F3B"/>
    <w:rsid w:val="0052408E"/>
    <w:rsid w:val="00525D00"/>
    <w:rsid w:val="00527CC8"/>
    <w:rsid w:val="00530B73"/>
    <w:rsid w:val="0053672F"/>
    <w:rsid w:val="005409EF"/>
    <w:rsid w:val="005415C9"/>
    <w:rsid w:val="00541DF4"/>
    <w:rsid w:val="00541EB3"/>
    <w:rsid w:val="00544AD6"/>
    <w:rsid w:val="00544F73"/>
    <w:rsid w:val="005451DC"/>
    <w:rsid w:val="005473E1"/>
    <w:rsid w:val="00550059"/>
    <w:rsid w:val="0055016B"/>
    <w:rsid w:val="00553EA5"/>
    <w:rsid w:val="0055414F"/>
    <w:rsid w:val="00554A86"/>
    <w:rsid w:val="00554AAE"/>
    <w:rsid w:val="00555499"/>
    <w:rsid w:val="005554DE"/>
    <w:rsid w:val="00555C7C"/>
    <w:rsid w:val="00557AFE"/>
    <w:rsid w:val="00560423"/>
    <w:rsid w:val="00560BFD"/>
    <w:rsid w:val="0056230A"/>
    <w:rsid w:val="0056246C"/>
    <w:rsid w:val="00562DDC"/>
    <w:rsid w:val="005631EC"/>
    <w:rsid w:val="0056382D"/>
    <w:rsid w:val="00563C03"/>
    <w:rsid w:val="00563D34"/>
    <w:rsid w:val="00564B8E"/>
    <w:rsid w:val="00564C55"/>
    <w:rsid w:val="00565BD8"/>
    <w:rsid w:val="00565C24"/>
    <w:rsid w:val="00566D87"/>
    <w:rsid w:val="00573465"/>
    <w:rsid w:val="005735CE"/>
    <w:rsid w:val="00574A3A"/>
    <w:rsid w:val="00575828"/>
    <w:rsid w:val="00575F73"/>
    <w:rsid w:val="0058051D"/>
    <w:rsid w:val="00580820"/>
    <w:rsid w:val="00580967"/>
    <w:rsid w:val="00580CAC"/>
    <w:rsid w:val="0058160D"/>
    <w:rsid w:val="0058192B"/>
    <w:rsid w:val="00581D46"/>
    <w:rsid w:val="005842D0"/>
    <w:rsid w:val="00586C74"/>
    <w:rsid w:val="005878B6"/>
    <w:rsid w:val="0059077B"/>
    <w:rsid w:val="00590BE7"/>
    <w:rsid w:val="0059174C"/>
    <w:rsid w:val="005933F6"/>
    <w:rsid w:val="00593C27"/>
    <w:rsid w:val="00593CFE"/>
    <w:rsid w:val="00595364"/>
    <w:rsid w:val="00596E0A"/>
    <w:rsid w:val="005975A2"/>
    <w:rsid w:val="005A044B"/>
    <w:rsid w:val="005A0A7F"/>
    <w:rsid w:val="005A10C6"/>
    <w:rsid w:val="005A3417"/>
    <w:rsid w:val="005A3C1B"/>
    <w:rsid w:val="005A3C22"/>
    <w:rsid w:val="005A4F8F"/>
    <w:rsid w:val="005A524C"/>
    <w:rsid w:val="005A5785"/>
    <w:rsid w:val="005A5DBC"/>
    <w:rsid w:val="005A6CD8"/>
    <w:rsid w:val="005B0B92"/>
    <w:rsid w:val="005B1C90"/>
    <w:rsid w:val="005B1E52"/>
    <w:rsid w:val="005B249D"/>
    <w:rsid w:val="005B28DC"/>
    <w:rsid w:val="005B3363"/>
    <w:rsid w:val="005B45A5"/>
    <w:rsid w:val="005B4EDB"/>
    <w:rsid w:val="005B5947"/>
    <w:rsid w:val="005B5CEF"/>
    <w:rsid w:val="005C1FFE"/>
    <w:rsid w:val="005C312A"/>
    <w:rsid w:val="005C3D72"/>
    <w:rsid w:val="005C50C5"/>
    <w:rsid w:val="005C6CA3"/>
    <w:rsid w:val="005C7B5F"/>
    <w:rsid w:val="005D07C7"/>
    <w:rsid w:val="005D08E2"/>
    <w:rsid w:val="005D098B"/>
    <w:rsid w:val="005D0A75"/>
    <w:rsid w:val="005D11DE"/>
    <w:rsid w:val="005D2575"/>
    <w:rsid w:val="005D2DDA"/>
    <w:rsid w:val="005D4B4F"/>
    <w:rsid w:val="005D5422"/>
    <w:rsid w:val="005D596B"/>
    <w:rsid w:val="005D66BC"/>
    <w:rsid w:val="005D6D2A"/>
    <w:rsid w:val="005D7BE6"/>
    <w:rsid w:val="005E05B9"/>
    <w:rsid w:val="005E1BDC"/>
    <w:rsid w:val="005E275C"/>
    <w:rsid w:val="005E5115"/>
    <w:rsid w:val="005E657F"/>
    <w:rsid w:val="005E7580"/>
    <w:rsid w:val="005E783B"/>
    <w:rsid w:val="005F1552"/>
    <w:rsid w:val="005F2BDB"/>
    <w:rsid w:val="005F4281"/>
    <w:rsid w:val="005F4394"/>
    <w:rsid w:val="005F57F7"/>
    <w:rsid w:val="0060191A"/>
    <w:rsid w:val="00601BD6"/>
    <w:rsid w:val="00601C9A"/>
    <w:rsid w:val="006035C3"/>
    <w:rsid w:val="00603E41"/>
    <w:rsid w:val="0060448A"/>
    <w:rsid w:val="00604866"/>
    <w:rsid w:val="00606E6F"/>
    <w:rsid w:val="0060705C"/>
    <w:rsid w:val="006076E3"/>
    <w:rsid w:val="006105DB"/>
    <w:rsid w:val="00610FE4"/>
    <w:rsid w:val="0061211C"/>
    <w:rsid w:val="00612265"/>
    <w:rsid w:val="00612B84"/>
    <w:rsid w:val="00613113"/>
    <w:rsid w:val="0061318C"/>
    <w:rsid w:val="006135E0"/>
    <w:rsid w:val="00613AB7"/>
    <w:rsid w:val="00615A4E"/>
    <w:rsid w:val="00615E17"/>
    <w:rsid w:val="006216AB"/>
    <w:rsid w:val="006217AC"/>
    <w:rsid w:val="006217BC"/>
    <w:rsid w:val="00622169"/>
    <w:rsid w:val="006224EC"/>
    <w:rsid w:val="00623C3F"/>
    <w:rsid w:val="00625E61"/>
    <w:rsid w:val="006264B0"/>
    <w:rsid w:val="006276A6"/>
    <w:rsid w:val="006305FC"/>
    <w:rsid w:val="00630F94"/>
    <w:rsid w:val="00632394"/>
    <w:rsid w:val="0063287C"/>
    <w:rsid w:val="00633108"/>
    <w:rsid w:val="006354D7"/>
    <w:rsid w:val="00635E40"/>
    <w:rsid w:val="00636539"/>
    <w:rsid w:val="0063778F"/>
    <w:rsid w:val="006379C5"/>
    <w:rsid w:val="006400B4"/>
    <w:rsid w:val="006429CC"/>
    <w:rsid w:val="00642D9D"/>
    <w:rsid w:val="00643622"/>
    <w:rsid w:val="00643E4A"/>
    <w:rsid w:val="006452CC"/>
    <w:rsid w:val="00645487"/>
    <w:rsid w:val="0064561A"/>
    <w:rsid w:val="0064693C"/>
    <w:rsid w:val="0064756F"/>
    <w:rsid w:val="00650571"/>
    <w:rsid w:val="006521BB"/>
    <w:rsid w:val="00653BE4"/>
    <w:rsid w:val="006547E2"/>
    <w:rsid w:val="00657BC1"/>
    <w:rsid w:val="00657FE8"/>
    <w:rsid w:val="006611BF"/>
    <w:rsid w:val="00661EFC"/>
    <w:rsid w:val="00662C9B"/>
    <w:rsid w:val="006637D3"/>
    <w:rsid w:val="006644BB"/>
    <w:rsid w:val="006649D6"/>
    <w:rsid w:val="00665453"/>
    <w:rsid w:val="00667C88"/>
    <w:rsid w:val="00670ACE"/>
    <w:rsid w:val="00671FAC"/>
    <w:rsid w:val="006725C9"/>
    <w:rsid w:val="006732C6"/>
    <w:rsid w:val="00673F9E"/>
    <w:rsid w:val="006746FF"/>
    <w:rsid w:val="0067594B"/>
    <w:rsid w:val="0067609E"/>
    <w:rsid w:val="00676ED9"/>
    <w:rsid w:val="0067765A"/>
    <w:rsid w:val="00682B71"/>
    <w:rsid w:val="00682C8D"/>
    <w:rsid w:val="0068500E"/>
    <w:rsid w:val="00685F4C"/>
    <w:rsid w:val="006869C5"/>
    <w:rsid w:val="00686A3A"/>
    <w:rsid w:val="00686CAD"/>
    <w:rsid w:val="00687230"/>
    <w:rsid w:val="00690542"/>
    <w:rsid w:val="0069201A"/>
    <w:rsid w:val="006966CF"/>
    <w:rsid w:val="006971D2"/>
    <w:rsid w:val="006A2CD4"/>
    <w:rsid w:val="006A30EF"/>
    <w:rsid w:val="006A39E6"/>
    <w:rsid w:val="006A4147"/>
    <w:rsid w:val="006A4701"/>
    <w:rsid w:val="006A48A9"/>
    <w:rsid w:val="006A4DE2"/>
    <w:rsid w:val="006A6DA2"/>
    <w:rsid w:val="006A6FB5"/>
    <w:rsid w:val="006A7506"/>
    <w:rsid w:val="006A76A8"/>
    <w:rsid w:val="006A7C0B"/>
    <w:rsid w:val="006A7CC0"/>
    <w:rsid w:val="006B08E6"/>
    <w:rsid w:val="006B0B1E"/>
    <w:rsid w:val="006B1016"/>
    <w:rsid w:val="006B1A6C"/>
    <w:rsid w:val="006B23FA"/>
    <w:rsid w:val="006B405C"/>
    <w:rsid w:val="006B42EC"/>
    <w:rsid w:val="006B494C"/>
    <w:rsid w:val="006B4AA2"/>
    <w:rsid w:val="006B4FA0"/>
    <w:rsid w:val="006B5896"/>
    <w:rsid w:val="006B6213"/>
    <w:rsid w:val="006B6422"/>
    <w:rsid w:val="006C03C3"/>
    <w:rsid w:val="006C0720"/>
    <w:rsid w:val="006C08C2"/>
    <w:rsid w:val="006C17DF"/>
    <w:rsid w:val="006C2B5F"/>
    <w:rsid w:val="006C45CC"/>
    <w:rsid w:val="006C4CE6"/>
    <w:rsid w:val="006C53C9"/>
    <w:rsid w:val="006C56B7"/>
    <w:rsid w:val="006C5C3A"/>
    <w:rsid w:val="006C69F2"/>
    <w:rsid w:val="006C6F93"/>
    <w:rsid w:val="006D03ED"/>
    <w:rsid w:val="006D04D4"/>
    <w:rsid w:val="006D0A46"/>
    <w:rsid w:val="006D0B24"/>
    <w:rsid w:val="006D10F0"/>
    <w:rsid w:val="006D1F76"/>
    <w:rsid w:val="006D2980"/>
    <w:rsid w:val="006D31FA"/>
    <w:rsid w:val="006D35C0"/>
    <w:rsid w:val="006D43F8"/>
    <w:rsid w:val="006D4502"/>
    <w:rsid w:val="006D474F"/>
    <w:rsid w:val="006D54D5"/>
    <w:rsid w:val="006D56F2"/>
    <w:rsid w:val="006D594B"/>
    <w:rsid w:val="006D5A44"/>
    <w:rsid w:val="006D6A5A"/>
    <w:rsid w:val="006D6AF8"/>
    <w:rsid w:val="006E031E"/>
    <w:rsid w:val="006E078C"/>
    <w:rsid w:val="006E18E3"/>
    <w:rsid w:val="006E255C"/>
    <w:rsid w:val="006E33BC"/>
    <w:rsid w:val="006E5681"/>
    <w:rsid w:val="006E6526"/>
    <w:rsid w:val="006E6D31"/>
    <w:rsid w:val="006E7BF7"/>
    <w:rsid w:val="006F00CB"/>
    <w:rsid w:val="006F0176"/>
    <w:rsid w:val="006F201A"/>
    <w:rsid w:val="006F2A86"/>
    <w:rsid w:val="006F2BDF"/>
    <w:rsid w:val="006F458D"/>
    <w:rsid w:val="006F4BB9"/>
    <w:rsid w:val="006F58E0"/>
    <w:rsid w:val="006F6A98"/>
    <w:rsid w:val="006F7F2C"/>
    <w:rsid w:val="007004B7"/>
    <w:rsid w:val="00704ABC"/>
    <w:rsid w:val="007053E0"/>
    <w:rsid w:val="00710598"/>
    <w:rsid w:val="0071170B"/>
    <w:rsid w:val="007126A4"/>
    <w:rsid w:val="00712A1B"/>
    <w:rsid w:val="00712E74"/>
    <w:rsid w:val="00713968"/>
    <w:rsid w:val="00714CCB"/>
    <w:rsid w:val="00715CA0"/>
    <w:rsid w:val="007167F3"/>
    <w:rsid w:val="00717A4D"/>
    <w:rsid w:val="0072045F"/>
    <w:rsid w:val="007206A6"/>
    <w:rsid w:val="00720873"/>
    <w:rsid w:val="00721606"/>
    <w:rsid w:val="00721725"/>
    <w:rsid w:val="00721B37"/>
    <w:rsid w:val="00722E5F"/>
    <w:rsid w:val="00723039"/>
    <w:rsid w:val="0072339C"/>
    <w:rsid w:val="00724384"/>
    <w:rsid w:val="00724A9C"/>
    <w:rsid w:val="00724DCA"/>
    <w:rsid w:val="00724E07"/>
    <w:rsid w:val="0073126E"/>
    <w:rsid w:val="00731584"/>
    <w:rsid w:val="00733234"/>
    <w:rsid w:val="0073456E"/>
    <w:rsid w:val="00734B66"/>
    <w:rsid w:val="007350FA"/>
    <w:rsid w:val="00735A52"/>
    <w:rsid w:val="00735CA9"/>
    <w:rsid w:val="00736137"/>
    <w:rsid w:val="00741605"/>
    <w:rsid w:val="00741ED6"/>
    <w:rsid w:val="00742BDC"/>
    <w:rsid w:val="00743BE5"/>
    <w:rsid w:val="00745D14"/>
    <w:rsid w:val="007513A7"/>
    <w:rsid w:val="00751725"/>
    <w:rsid w:val="00751933"/>
    <w:rsid w:val="00751C2B"/>
    <w:rsid w:val="00752554"/>
    <w:rsid w:val="00755671"/>
    <w:rsid w:val="00756B5C"/>
    <w:rsid w:val="00756C57"/>
    <w:rsid w:val="00756F7D"/>
    <w:rsid w:val="00760B62"/>
    <w:rsid w:val="00760E82"/>
    <w:rsid w:val="00761347"/>
    <w:rsid w:val="007616BE"/>
    <w:rsid w:val="00761C92"/>
    <w:rsid w:val="007626F9"/>
    <w:rsid w:val="00763B5D"/>
    <w:rsid w:val="0076444D"/>
    <w:rsid w:val="007651BD"/>
    <w:rsid w:val="007665B3"/>
    <w:rsid w:val="00766AAA"/>
    <w:rsid w:val="00766F58"/>
    <w:rsid w:val="00770300"/>
    <w:rsid w:val="007710B9"/>
    <w:rsid w:val="007716A7"/>
    <w:rsid w:val="00774F2F"/>
    <w:rsid w:val="00775715"/>
    <w:rsid w:val="00775FFE"/>
    <w:rsid w:val="007771E5"/>
    <w:rsid w:val="00777B66"/>
    <w:rsid w:val="00777B98"/>
    <w:rsid w:val="00780023"/>
    <w:rsid w:val="007800D1"/>
    <w:rsid w:val="00780EBA"/>
    <w:rsid w:val="00782423"/>
    <w:rsid w:val="00782DCF"/>
    <w:rsid w:val="00783464"/>
    <w:rsid w:val="00783F64"/>
    <w:rsid w:val="00784426"/>
    <w:rsid w:val="00784C55"/>
    <w:rsid w:val="0078780A"/>
    <w:rsid w:val="007910B0"/>
    <w:rsid w:val="00792BC3"/>
    <w:rsid w:val="00792EBD"/>
    <w:rsid w:val="007938E2"/>
    <w:rsid w:val="0079666E"/>
    <w:rsid w:val="00796801"/>
    <w:rsid w:val="00796C23"/>
    <w:rsid w:val="00797CDE"/>
    <w:rsid w:val="007A0D7A"/>
    <w:rsid w:val="007A1579"/>
    <w:rsid w:val="007A17F9"/>
    <w:rsid w:val="007A26BF"/>
    <w:rsid w:val="007A31DC"/>
    <w:rsid w:val="007A5D22"/>
    <w:rsid w:val="007A5F2B"/>
    <w:rsid w:val="007A63AA"/>
    <w:rsid w:val="007A6DF8"/>
    <w:rsid w:val="007A7CAB"/>
    <w:rsid w:val="007B0176"/>
    <w:rsid w:val="007B1714"/>
    <w:rsid w:val="007B236A"/>
    <w:rsid w:val="007B2F40"/>
    <w:rsid w:val="007B3DB7"/>
    <w:rsid w:val="007B4FC1"/>
    <w:rsid w:val="007B65C1"/>
    <w:rsid w:val="007B6F6F"/>
    <w:rsid w:val="007B77B2"/>
    <w:rsid w:val="007C1544"/>
    <w:rsid w:val="007C2F37"/>
    <w:rsid w:val="007C5107"/>
    <w:rsid w:val="007C6BD5"/>
    <w:rsid w:val="007C7FA6"/>
    <w:rsid w:val="007D094D"/>
    <w:rsid w:val="007D2236"/>
    <w:rsid w:val="007D22E9"/>
    <w:rsid w:val="007D5D62"/>
    <w:rsid w:val="007D604F"/>
    <w:rsid w:val="007D66C7"/>
    <w:rsid w:val="007D759F"/>
    <w:rsid w:val="007D7C1A"/>
    <w:rsid w:val="007E3F1E"/>
    <w:rsid w:val="007E4033"/>
    <w:rsid w:val="007E480B"/>
    <w:rsid w:val="007E4FD2"/>
    <w:rsid w:val="007F08F3"/>
    <w:rsid w:val="007F0D6D"/>
    <w:rsid w:val="007F1A73"/>
    <w:rsid w:val="007F1B20"/>
    <w:rsid w:val="007F2680"/>
    <w:rsid w:val="007F31DD"/>
    <w:rsid w:val="007F4B96"/>
    <w:rsid w:val="007F4DEC"/>
    <w:rsid w:val="007F59CB"/>
    <w:rsid w:val="007F6A14"/>
    <w:rsid w:val="007F6E26"/>
    <w:rsid w:val="007F6EBD"/>
    <w:rsid w:val="007F7054"/>
    <w:rsid w:val="007F76B7"/>
    <w:rsid w:val="007F7CFD"/>
    <w:rsid w:val="0080024A"/>
    <w:rsid w:val="00801FB5"/>
    <w:rsid w:val="008024A3"/>
    <w:rsid w:val="00804EB1"/>
    <w:rsid w:val="00804ED4"/>
    <w:rsid w:val="00806911"/>
    <w:rsid w:val="00811D18"/>
    <w:rsid w:val="00811E04"/>
    <w:rsid w:val="00813BE4"/>
    <w:rsid w:val="00815B20"/>
    <w:rsid w:val="00817437"/>
    <w:rsid w:val="008203D2"/>
    <w:rsid w:val="00820633"/>
    <w:rsid w:val="008207BC"/>
    <w:rsid w:val="0082119D"/>
    <w:rsid w:val="00821B66"/>
    <w:rsid w:val="00821FED"/>
    <w:rsid w:val="0082271E"/>
    <w:rsid w:val="00822791"/>
    <w:rsid w:val="00822DD4"/>
    <w:rsid w:val="00823521"/>
    <w:rsid w:val="00823EA5"/>
    <w:rsid w:val="00824819"/>
    <w:rsid w:val="00824C53"/>
    <w:rsid w:val="00824DD1"/>
    <w:rsid w:val="00826024"/>
    <w:rsid w:val="00826FDD"/>
    <w:rsid w:val="00827AA8"/>
    <w:rsid w:val="00827B86"/>
    <w:rsid w:val="00830FA4"/>
    <w:rsid w:val="008348A3"/>
    <w:rsid w:val="00834982"/>
    <w:rsid w:val="008354D7"/>
    <w:rsid w:val="0083569B"/>
    <w:rsid w:val="00835ACC"/>
    <w:rsid w:val="00836456"/>
    <w:rsid w:val="008370FC"/>
    <w:rsid w:val="00840B15"/>
    <w:rsid w:val="00840E34"/>
    <w:rsid w:val="00841559"/>
    <w:rsid w:val="0084184B"/>
    <w:rsid w:val="008419C4"/>
    <w:rsid w:val="00841A1E"/>
    <w:rsid w:val="00841AC4"/>
    <w:rsid w:val="0084357A"/>
    <w:rsid w:val="00845996"/>
    <w:rsid w:val="00845A72"/>
    <w:rsid w:val="00845C8E"/>
    <w:rsid w:val="00847EC2"/>
    <w:rsid w:val="0085073A"/>
    <w:rsid w:val="00850EA7"/>
    <w:rsid w:val="00851182"/>
    <w:rsid w:val="008519F6"/>
    <w:rsid w:val="0085263C"/>
    <w:rsid w:val="008530B1"/>
    <w:rsid w:val="008530EA"/>
    <w:rsid w:val="00853A36"/>
    <w:rsid w:val="00855547"/>
    <w:rsid w:val="00856B5E"/>
    <w:rsid w:val="00857E09"/>
    <w:rsid w:val="00860385"/>
    <w:rsid w:val="00861BC2"/>
    <w:rsid w:val="008624C8"/>
    <w:rsid w:val="00862E31"/>
    <w:rsid w:val="008635C0"/>
    <w:rsid w:val="00863F15"/>
    <w:rsid w:val="008641CF"/>
    <w:rsid w:val="00864FC9"/>
    <w:rsid w:val="00865172"/>
    <w:rsid w:val="00865CF8"/>
    <w:rsid w:val="00867824"/>
    <w:rsid w:val="0087082A"/>
    <w:rsid w:val="0087492D"/>
    <w:rsid w:val="008759E8"/>
    <w:rsid w:val="0087760F"/>
    <w:rsid w:val="00877A8D"/>
    <w:rsid w:val="00880881"/>
    <w:rsid w:val="00882284"/>
    <w:rsid w:val="0088337F"/>
    <w:rsid w:val="00884235"/>
    <w:rsid w:val="00884773"/>
    <w:rsid w:val="008849A0"/>
    <w:rsid w:val="008851A4"/>
    <w:rsid w:val="00886BBC"/>
    <w:rsid w:val="00887B8C"/>
    <w:rsid w:val="0089008E"/>
    <w:rsid w:val="008919D6"/>
    <w:rsid w:val="00893487"/>
    <w:rsid w:val="0089795C"/>
    <w:rsid w:val="00897E79"/>
    <w:rsid w:val="008A1B19"/>
    <w:rsid w:val="008A1B96"/>
    <w:rsid w:val="008A2EE4"/>
    <w:rsid w:val="008A5320"/>
    <w:rsid w:val="008A559C"/>
    <w:rsid w:val="008A6A74"/>
    <w:rsid w:val="008A7358"/>
    <w:rsid w:val="008B1114"/>
    <w:rsid w:val="008B12DC"/>
    <w:rsid w:val="008B1F2D"/>
    <w:rsid w:val="008B2604"/>
    <w:rsid w:val="008B2DA9"/>
    <w:rsid w:val="008B3C73"/>
    <w:rsid w:val="008B4082"/>
    <w:rsid w:val="008B4FE0"/>
    <w:rsid w:val="008B6272"/>
    <w:rsid w:val="008C011B"/>
    <w:rsid w:val="008C0662"/>
    <w:rsid w:val="008C2221"/>
    <w:rsid w:val="008C2CDF"/>
    <w:rsid w:val="008C751B"/>
    <w:rsid w:val="008D009F"/>
    <w:rsid w:val="008D0EB0"/>
    <w:rsid w:val="008D1469"/>
    <w:rsid w:val="008D1529"/>
    <w:rsid w:val="008D17F9"/>
    <w:rsid w:val="008D1998"/>
    <w:rsid w:val="008D283B"/>
    <w:rsid w:val="008D4311"/>
    <w:rsid w:val="008D441D"/>
    <w:rsid w:val="008D67AC"/>
    <w:rsid w:val="008D6F51"/>
    <w:rsid w:val="008E0F98"/>
    <w:rsid w:val="008E25B9"/>
    <w:rsid w:val="008E2818"/>
    <w:rsid w:val="008E2BEB"/>
    <w:rsid w:val="008E2D5E"/>
    <w:rsid w:val="008E3DB1"/>
    <w:rsid w:val="008E47E3"/>
    <w:rsid w:val="008E5393"/>
    <w:rsid w:val="008E6331"/>
    <w:rsid w:val="008E6FB8"/>
    <w:rsid w:val="008E72D6"/>
    <w:rsid w:val="008E76BE"/>
    <w:rsid w:val="008F12FC"/>
    <w:rsid w:val="008F2B94"/>
    <w:rsid w:val="008F2D4F"/>
    <w:rsid w:val="008F651C"/>
    <w:rsid w:val="008F6D9E"/>
    <w:rsid w:val="00900603"/>
    <w:rsid w:val="0090113D"/>
    <w:rsid w:val="00901702"/>
    <w:rsid w:val="00901C6F"/>
    <w:rsid w:val="0090251B"/>
    <w:rsid w:val="00902D29"/>
    <w:rsid w:val="00902D32"/>
    <w:rsid w:val="00903AAB"/>
    <w:rsid w:val="009043FF"/>
    <w:rsid w:val="00905AA5"/>
    <w:rsid w:val="0090604D"/>
    <w:rsid w:val="00906782"/>
    <w:rsid w:val="00907FD1"/>
    <w:rsid w:val="009101F5"/>
    <w:rsid w:val="00911B6B"/>
    <w:rsid w:val="00911CF7"/>
    <w:rsid w:val="0091319B"/>
    <w:rsid w:val="009136B7"/>
    <w:rsid w:val="00913EE1"/>
    <w:rsid w:val="00914EF2"/>
    <w:rsid w:val="0091683D"/>
    <w:rsid w:val="009170C4"/>
    <w:rsid w:val="009176D5"/>
    <w:rsid w:val="00917B84"/>
    <w:rsid w:val="00917C6D"/>
    <w:rsid w:val="00917FA6"/>
    <w:rsid w:val="009200DF"/>
    <w:rsid w:val="00920352"/>
    <w:rsid w:val="009208C6"/>
    <w:rsid w:val="00920B18"/>
    <w:rsid w:val="00921A5F"/>
    <w:rsid w:val="00923B87"/>
    <w:rsid w:val="00925003"/>
    <w:rsid w:val="0092525B"/>
    <w:rsid w:val="009267E1"/>
    <w:rsid w:val="00927027"/>
    <w:rsid w:val="00931300"/>
    <w:rsid w:val="00931402"/>
    <w:rsid w:val="009319CC"/>
    <w:rsid w:val="00932AA8"/>
    <w:rsid w:val="00933362"/>
    <w:rsid w:val="00933EAB"/>
    <w:rsid w:val="00934001"/>
    <w:rsid w:val="00934DF9"/>
    <w:rsid w:val="009355A8"/>
    <w:rsid w:val="009368B1"/>
    <w:rsid w:val="00936BFB"/>
    <w:rsid w:val="00940AA4"/>
    <w:rsid w:val="00941161"/>
    <w:rsid w:val="009416C0"/>
    <w:rsid w:val="00941AD8"/>
    <w:rsid w:val="009425D1"/>
    <w:rsid w:val="0094487D"/>
    <w:rsid w:val="00945B6F"/>
    <w:rsid w:val="00946363"/>
    <w:rsid w:val="009514D0"/>
    <w:rsid w:val="00951EA8"/>
    <w:rsid w:val="00953C53"/>
    <w:rsid w:val="00953F1E"/>
    <w:rsid w:val="009547CE"/>
    <w:rsid w:val="00954F30"/>
    <w:rsid w:val="009554F1"/>
    <w:rsid w:val="00955BF2"/>
    <w:rsid w:val="009567BC"/>
    <w:rsid w:val="009613FB"/>
    <w:rsid w:val="00964507"/>
    <w:rsid w:val="009710F1"/>
    <w:rsid w:val="00972381"/>
    <w:rsid w:val="0097305F"/>
    <w:rsid w:val="009735F3"/>
    <w:rsid w:val="0097379C"/>
    <w:rsid w:val="009761EC"/>
    <w:rsid w:val="00976D9F"/>
    <w:rsid w:val="0097710E"/>
    <w:rsid w:val="00977625"/>
    <w:rsid w:val="009801E4"/>
    <w:rsid w:val="00980EC0"/>
    <w:rsid w:val="009826A9"/>
    <w:rsid w:val="00982FAF"/>
    <w:rsid w:val="00984A1C"/>
    <w:rsid w:val="009853D6"/>
    <w:rsid w:val="0098716A"/>
    <w:rsid w:val="00990D05"/>
    <w:rsid w:val="00995CE8"/>
    <w:rsid w:val="00997EE0"/>
    <w:rsid w:val="009A1BFB"/>
    <w:rsid w:val="009A21DD"/>
    <w:rsid w:val="009A283E"/>
    <w:rsid w:val="009A5FE1"/>
    <w:rsid w:val="009A6AB5"/>
    <w:rsid w:val="009A72C3"/>
    <w:rsid w:val="009B327D"/>
    <w:rsid w:val="009B344C"/>
    <w:rsid w:val="009B3ADE"/>
    <w:rsid w:val="009B3FA2"/>
    <w:rsid w:val="009B554F"/>
    <w:rsid w:val="009B61B5"/>
    <w:rsid w:val="009B6FC2"/>
    <w:rsid w:val="009C0FEE"/>
    <w:rsid w:val="009C12D9"/>
    <w:rsid w:val="009C13DB"/>
    <w:rsid w:val="009C1832"/>
    <w:rsid w:val="009C1DD8"/>
    <w:rsid w:val="009C4070"/>
    <w:rsid w:val="009C4E80"/>
    <w:rsid w:val="009C555D"/>
    <w:rsid w:val="009C595A"/>
    <w:rsid w:val="009C7D91"/>
    <w:rsid w:val="009C7F6C"/>
    <w:rsid w:val="009D03BC"/>
    <w:rsid w:val="009D0436"/>
    <w:rsid w:val="009D2971"/>
    <w:rsid w:val="009D3AB8"/>
    <w:rsid w:val="009D4F36"/>
    <w:rsid w:val="009E06B1"/>
    <w:rsid w:val="009E1140"/>
    <w:rsid w:val="009E21D1"/>
    <w:rsid w:val="009E4E30"/>
    <w:rsid w:val="009E65A4"/>
    <w:rsid w:val="009E6E90"/>
    <w:rsid w:val="009E70BD"/>
    <w:rsid w:val="009E7B8A"/>
    <w:rsid w:val="009E7BCA"/>
    <w:rsid w:val="009E7E8E"/>
    <w:rsid w:val="009F1E4C"/>
    <w:rsid w:val="009F2326"/>
    <w:rsid w:val="009F2B7B"/>
    <w:rsid w:val="009F2D55"/>
    <w:rsid w:val="009F35CC"/>
    <w:rsid w:val="009F43F8"/>
    <w:rsid w:val="009F5608"/>
    <w:rsid w:val="009F5BE1"/>
    <w:rsid w:val="009F5CB8"/>
    <w:rsid w:val="009F610C"/>
    <w:rsid w:val="00A00053"/>
    <w:rsid w:val="00A00E9C"/>
    <w:rsid w:val="00A0270B"/>
    <w:rsid w:val="00A04146"/>
    <w:rsid w:val="00A04906"/>
    <w:rsid w:val="00A04A2D"/>
    <w:rsid w:val="00A04DD2"/>
    <w:rsid w:val="00A0527B"/>
    <w:rsid w:val="00A05A84"/>
    <w:rsid w:val="00A06108"/>
    <w:rsid w:val="00A0708A"/>
    <w:rsid w:val="00A0715B"/>
    <w:rsid w:val="00A10F81"/>
    <w:rsid w:val="00A11A7F"/>
    <w:rsid w:val="00A1288E"/>
    <w:rsid w:val="00A12B4A"/>
    <w:rsid w:val="00A131EB"/>
    <w:rsid w:val="00A142B6"/>
    <w:rsid w:val="00A1539D"/>
    <w:rsid w:val="00A15E91"/>
    <w:rsid w:val="00A17278"/>
    <w:rsid w:val="00A17C95"/>
    <w:rsid w:val="00A17EC2"/>
    <w:rsid w:val="00A20AF7"/>
    <w:rsid w:val="00A218BD"/>
    <w:rsid w:val="00A26999"/>
    <w:rsid w:val="00A300D8"/>
    <w:rsid w:val="00A30317"/>
    <w:rsid w:val="00A30642"/>
    <w:rsid w:val="00A30DB9"/>
    <w:rsid w:val="00A346AC"/>
    <w:rsid w:val="00A34F7E"/>
    <w:rsid w:val="00A357B0"/>
    <w:rsid w:val="00A402B5"/>
    <w:rsid w:val="00A41509"/>
    <w:rsid w:val="00A41B4F"/>
    <w:rsid w:val="00A428CB"/>
    <w:rsid w:val="00A42B56"/>
    <w:rsid w:val="00A45371"/>
    <w:rsid w:val="00A46B4F"/>
    <w:rsid w:val="00A46BC1"/>
    <w:rsid w:val="00A517A4"/>
    <w:rsid w:val="00A518C2"/>
    <w:rsid w:val="00A51EE7"/>
    <w:rsid w:val="00A53A67"/>
    <w:rsid w:val="00A5491D"/>
    <w:rsid w:val="00A54E5A"/>
    <w:rsid w:val="00A55D50"/>
    <w:rsid w:val="00A56B63"/>
    <w:rsid w:val="00A576D4"/>
    <w:rsid w:val="00A57C9F"/>
    <w:rsid w:val="00A6095F"/>
    <w:rsid w:val="00A60C80"/>
    <w:rsid w:val="00A61B31"/>
    <w:rsid w:val="00A63F59"/>
    <w:rsid w:val="00A641E2"/>
    <w:rsid w:val="00A64463"/>
    <w:rsid w:val="00A70150"/>
    <w:rsid w:val="00A70D70"/>
    <w:rsid w:val="00A71364"/>
    <w:rsid w:val="00A7219B"/>
    <w:rsid w:val="00A74AC9"/>
    <w:rsid w:val="00A75F8C"/>
    <w:rsid w:val="00A76808"/>
    <w:rsid w:val="00A7762C"/>
    <w:rsid w:val="00A776BC"/>
    <w:rsid w:val="00A777F2"/>
    <w:rsid w:val="00A80716"/>
    <w:rsid w:val="00A823CA"/>
    <w:rsid w:val="00A828DD"/>
    <w:rsid w:val="00A83CE3"/>
    <w:rsid w:val="00A84D6F"/>
    <w:rsid w:val="00A85577"/>
    <w:rsid w:val="00A85E68"/>
    <w:rsid w:val="00A86193"/>
    <w:rsid w:val="00A865CC"/>
    <w:rsid w:val="00A876C9"/>
    <w:rsid w:val="00A90399"/>
    <w:rsid w:val="00A91DFC"/>
    <w:rsid w:val="00A93B7A"/>
    <w:rsid w:val="00A95FE3"/>
    <w:rsid w:val="00AA0197"/>
    <w:rsid w:val="00AA04AE"/>
    <w:rsid w:val="00AA0D17"/>
    <w:rsid w:val="00AA0F3F"/>
    <w:rsid w:val="00AA24A6"/>
    <w:rsid w:val="00AA31E2"/>
    <w:rsid w:val="00AA32EC"/>
    <w:rsid w:val="00AA3793"/>
    <w:rsid w:val="00AA3F3D"/>
    <w:rsid w:val="00AA4583"/>
    <w:rsid w:val="00AA69EC"/>
    <w:rsid w:val="00AA7891"/>
    <w:rsid w:val="00AA7F5E"/>
    <w:rsid w:val="00AB04A1"/>
    <w:rsid w:val="00AB233C"/>
    <w:rsid w:val="00AB269B"/>
    <w:rsid w:val="00AB2E68"/>
    <w:rsid w:val="00AB349E"/>
    <w:rsid w:val="00AB6E0A"/>
    <w:rsid w:val="00AB784A"/>
    <w:rsid w:val="00AB7AF7"/>
    <w:rsid w:val="00AC2330"/>
    <w:rsid w:val="00AC419F"/>
    <w:rsid w:val="00AC4A9C"/>
    <w:rsid w:val="00AC5207"/>
    <w:rsid w:val="00AC5464"/>
    <w:rsid w:val="00AC6789"/>
    <w:rsid w:val="00AC6FD2"/>
    <w:rsid w:val="00AC7C75"/>
    <w:rsid w:val="00AD1F59"/>
    <w:rsid w:val="00AD2EC1"/>
    <w:rsid w:val="00AD51D1"/>
    <w:rsid w:val="00AD5223"/>
    <w:rsid w:val="00AD65A8"/>
    <w:rsid w:val="00AD67C3"/>
    <w:rsid w:val="00AD6B92"/>
    <w:rsid w:val="00AD6C9A"/>
    <w:rsid w:val="00AD6FE6"/>
    <w:rsid w:val="00AD7F43"/>
    <w:rsid w:val="00AE085C"/>
    <w:rsid w:val="00AE2A65"/>
    <w:rsid w:val="00AE385F"/>
    <w:rsid w:val="00AE4209"/>
    <w:rsid w:val="00AE425A"/>
    <w:rsid w:val="00AE4A37"/>
    <w:rsid w:val="00AE5DDF"/>
    <w:rsid w:val="00AE62BE"/>
    <w:rsid w:val="00AE6AB1"/>
    <w:rsid w:val="00AE7120"/>
    <w:rsid w:val="00AE77FA"/>
    <w:rsid w:val="00AF0AC1"/>
    <w:rsid w:val="00AF0B97"/>
    <w:rsid w:val="00AF14FB"/>
    <w:rsid w:val="00AF2B7D"/>
    <w:rsid w:val="00AF33C5"/>
    <w:rsid w:val="00AF413E"/>
    <w:rsid w:val="00AF4282"/>
    <w:rsid w:val="00AF448E"/>
    <w:rsid w:val="00AF5821"/>
    <w:rsid w:val="00AF5A71"/>
    <w:rsid w:val="00AF5F8C"/>
    <w:rsid w:val="00AF71B9"/>
    <w:rsid w:val="00AF7419"/>
    <w:rsid w:val="00AF7FB2"/>
    <w:rsid w:val="00B01761"/>
    <w:rsid w:val="00B01AE6"/>
    <w:rsid w:val="00B03AA8"/>
    <w:rsid w:val="00B03D65"/>
    <w:rsid w:val="00B0402A"/>
    <w:rsid w:val="00B057F1"/>
    <w:rsid w:val="00B063CC"/>
    <w:rsid w:val="00B0640E"/>
    <w:rsid w:val="00B07520"/>
    <w:rsid w:val="00B11286"/>
    <w:rsid w:val="00B11403"/>
    <w:rsid w:val="00B1143B"/>
    <w:rsid w:val="00B11FBB"/>
    <w:rsid w:val="00B12446"/>
    <w:rsid w:val="00B1347F"/>
    <w:rsid w:val="00B15E9E"/>
    <w:rsid w:val="00B15F50"/>
    <w:rsid w:val="00B16751"/>
    <w:rsid w:val="00B21E72"/>
    <w:rsid w:val="00B2350C"/>
    <w:rsid w:val="00B23A1E"/>
    <w:rsid w:val="00B24757"/>
    <w:rsid w:val="00B26855"/>
    <w:rsid w:val="00B26A8C"/>
    <w:rsid w:val="00B26C1A"/>
    <w:rsid w:val="00B27156"/>
    <w:rsid w:val="00B272B4"/>
    <w:rsid w:val="00B27310"/>
    <w:rsid w:val="00B31A76"/>
    <w:rsid w:val="00B32DA4"/>
    <w:rsid w:val="00B33395"/>
    <w:rsid w:val="00B33666"/>
    <w:rsid w:val="00B33F39"/>
    <w:rsid w:val="00B33F52"/>
    <w:rsid w:val="00B34FD5"/>
    <w:rsid w:val="00B35ABB"/>
    <w:rsid w:val="00B35D84"/>
    <w:rsid w:val="00B375E0"/>
    <w:rsid w:val="00B3770B"/>
    <w:rsid w:val="00B37A13"/>
    <w:rsid w:val="00B37DA3"/>
    <w:rsid w:val="00B40E32"/>
    <w:rsid w:val="00B41619"/>
    <w:rsid w:val="00B418D4"/>
    <w:rsid w:val="00B41968"/>
    <w:rsid w:val="00B42368"/>
    <w:rsid w:val="00B43B59"/>
    <w:rsid w:val="00B44394"/>
    <w:rsid w:val="00B46A50"/>
    <w:rsid w:val="00B46FE1"/>
    <w:rsid w:val="00B4714A"/>
    <w:rsid w:val="00B47AEC"/>
    <w:rsid w:val="00B5056A"/>
    <w:rsid w:val="00B50C34"/>
    <w:rsid w:val="00B516AC"/>
    <w:rsid w:val="00B52C29"/>
    <w:rsid w:val="00B541C8"/>
    <w:rsid w:val="00B54DCE"/>
    <w:rsid w:val="00B5636A"/>
    <w:rsid w:val="00B56CE8"/>
    <w:rsid w:val="00B57251"/>
    <w:rsid w:val="00B57391"/>
    <w:rsid w:val="00B61581"/>
    <w:rsid w:val="00B61CAE"/>
    <w:rsid w:val="00B628D4"/>
    <w:rsid w:val="00B63227"/>
    <w:rsid w:val="00B64385"/>
    <w:rsid w:val="00B6690E"/>
    <w:rsid w:val="00B66C3E"/>
    <w:rsid w:val="00B67DF7"/>
    <w:rsid w:val="00B700FE"/>
    <w:rsid w:val="00B71EE5"/>
    <w:rsid w:val="00B72C38"/>
    <w:rsid w:val="00B742C4"/>
    <w:rsid w:val="00B76606"/>
    <w:rsid w:val="00B7771D"/>
    <w:rsid w:val="00B831FD"/>
    <w:rsid w:val="00B83AFF"/>
    <w:rsid w:val="00B865FF"/>
    <w:rsid w:val="00B86EE5"/>
    <w:rsid w:val="00B9041F"/>
    <w:rsid w:val="00B930A4"/>
    <w:rsid w:val="00B93ACD"/>
    <w:rsid w:val="00B93CD1"/>
    <w:rsid w:val="00B942D5"/>
    <w:rsid w:val="00B94685"/>
    <w:rsid w:val="00B949C3"/>
    <w:rsid w:val="00B951C3"/>
    <w:rsid w:val="00B9649C"/>
    <w:rsid w:val="00B9686B"/>
    <w:rsid w:val="00BA07FB"/>
    <w:rsid w:val="00BA128D"/>
    <w:rsid w:val="00BA1B75"/>
    <w:rsid w:val="00BA231F"/>
    <w:rsid w:val="00BA2534"/>
    <w:rsid w:val="00BA3564"/>
    <w:rsid w:val="00BA59A9"/>
    <w:rsid w:val="00BA71E7"/>
    <w:rsid w:val="00BA7C7C"/>
    <w:rsid w:val="00BB0293"/>
    <w:rsid w:val="00BB0456"/>
    <w:rsid w:val="00BB0F5A"/>
    <w:rsid w:val="00BB2AC9"/>
    <w:rsid w:val="00BB383B"/>
    <w:rsid w:val="00BB44AF"/>
    <w:rsid w:val="00BB4BD1"/>
    <w:rsid w:val="00BB4F78"/>
    <w:rsid w:val="00BB603A"/>
    <w:rsid w:val="00BB723A"/>
    <w:rsid w:val="00BB78CC"/>
    <w:rsid w:val="00BC0566"/>
    <w:rsid w:val="00BC1AA7"/>
    <w:rsid w:val="00BC2915"/>
    <w:rsid w:val="00BC5AFF"/>
    <w:rsid w:val="00BC6B21"/>
    <w:rsid w:val="00BD0300"/>
    <w:rsid w:val="00BD0E16"/>
    <w:rsid w:val="00BD0E8F"/>
    <w:rsid w:val="00BD1435"/>
    <w:rsid w:val="00BD25C9"/>
    <w:rsid w:val="00BD447F"/>
    <w:rsid w:val="00BD4F80"/>
    <w:rsid w:val="00BD555B"/>
    <w:rsid w:val="00BD7CFE"/>
    <w:rsid w:val="00BE0DF8"/>
    <w:rsid w:val="00BE308B"/>
    <w:rsid w:val="00BE3571"/>
    <w:rsid w:val="00BE5017"/>
    <w:rsid w:val="00BE51D7"/>
    <w:rsid w:val="00BE7072"/>
    <w:rsid w:val="00BE7950"/>
    <w:rsid w:val="00BF259B"/>
    <w:rsid w:val="00BF26E0"/>
    <w:rsid w:val="00BF2D7A"/>
    <w:rsid w:val="00BF46FB"/>
    <w:rsid w:val="00BF4AC3"/>
    <w:rsid w:val="00BF4E44"/>
    <w:rsid w:val="00BF5F84"/>
    <w:rsid w:val="00BF6401"/>
    <w:rsid w:val="00BF644B"/>
    <w:rsid w:val="00BF6E13"/>
    <w:rsid w:val="00BF70F4"/>
    <w:rsid w:val="00C028CD"/>
    <w:rsid w:val="00C02AB6"/>
    <w:rsid w:val="00C02BDF"/>
    <w:rsid w:val="00C0385F"/>
    <w:rsid w:val="00C0547B"/>
    <w:rsid w:val="00C05549"/>
    <w:rsid w:val="00C10FFA"/>
    <w:rsid w:val="00C11317"/>
    <w:rsid w:val="00C11C55"/>
    <w:rsid w:val="00C12118"/>
    <w:rsid w:val="00C1246B"/>
    <w:rsid w:val="00C135EA"/>
    <w:rsid w:val="00C14F02"/>
    <w:rsid w:val="00C15CE9"/>
    <w:rsid w:val="00C1669C"/>
    <w:rsid w:val="00C16A5A"/>
    <w:rsid w:val="00C208FA"/>
    <w:rsid w:val="00C216A0"/>
    <w:rsid w:val="00C22C50"/>
    <w:rsid w:val="00C236D2"/>
    <w:rsid w:val="00C237DD"/>
    <w:rsid w:val="00C23992"/>
    <w:rsid w:val="00C265C0"/>
    <w:rsid w:val="00C27E02"/>
    <w:rsid w:val="00C31E21"/>
    <w:rsid w:val="00C32626"/>
    <w:rsid w:val="00C33D9C"/>
    <w:rsid w:val="00C36E69"/>
    <w:rsid w:val="00C40B85"/>
    <w:rsid w:val="00C41B97"/>
    <w:rsid w:val="00C459D4"/>
    <w:rsid w:val="00C45CF7"/>
    <w:rsid w:val="00C46155"/>
    <w:rsid w:val="00C46D83"/>
    <w:rsid w:val="00C519FD"/>
    <w:rsid w:val="00C52034"/>
    <w:rsid w:val="00C525DA"/>
    <w:rsid w:val="00C53227"/>
    <w:rsid w:val="00C53265"/>
    <w:rsid w:val="00C5473A"/>
    <w:rsid w:val="00C55CB0"/>
    <w:rsid w:val="00C55E0A"/>
    <w:rsid w:val="00C5660B"/>
    <w:rsid w:val="00C570FA"/>
    <w:rsid w:val="00C571FB"/>
    <w:rsid w:val="00C6256F"/>
    <w:rsid w:val="00C6393A"/>
    <w:rsid w:val="00C648B3"/>
    <w:rsid w:val="00C659C1"/>
    <w:rsid w:val="00C67D97"/>
    <w:rsid w:val="00C712F6"/>
    <w:rsid w:val="00C7170C"/>
    <w:rsid w:val="00C71A53"/>
    <w:rsid w:val="00C7201C"/>
    <w:rsid w:val="00C73B48"/>
    <w:rsid w:val="00C7441B"/>
    <w:rsid w:val="00C75D60"/>
    <w:rsid w:val="00C76CA0"/>
    <w:rsid w:val="00C7767E"/>
    <w:rsid w:val="00C813C7"/>
    <w:rsid w:val="00C82D0C"/>
    <w:rsid w:val="00C837A3"/>
    <w:rsid w:val="00C84354"/>
    <w:rsid w:val="00C84AB7"/>
    <w:rsid w:val="00C85A1A"/>
    <w:rsid w:val="00C8732B"/>
    <w:rsid w:val="00C87C5C"/>
    <w:rsid w:val="00C912D9"/>
    <w:rsid w:val="00C91D53"/>
    <w:rsid w:val="00C91F29"/>
    <w:rsid w:val="00C92336"/>
    <w:rsid w:val="00C9298D"/>
    <w:rsid w:val="00C93739"/>
    <w:rsid w:val="00C93B05"/>
    <w:rsid w:val="00C942C5"/>
    <w:rsid w:val="00C95D9B"/>
    <w:rsid w:val="00C97510"/>
    <w:rsid w:val="00C97CCD"/>
    <w:rsid w:val="00CA006E"/>
    <w:rsid w:val="00CA046F"/>
    <w:rsid w:val="00CA0A9B"/>
    <w:rsid w:val="00CA14CA"/>
    <w:rsid w:val="00CA3109"/>
    <w:rsid w:val="00CA581F"/>
    <w:rsid w:val="00CA5EF9"/>
    <w:rsid w:val="00CA64E5"/>
    <w:rsid w:val="00CA765E"/>
    <w:rsid w:val="00CB12DC"/>
    <w:rsid w:val="00CB1BDC"/>
    <w:rsid w:val="00CB3FE8"/>
    <w:rsid w:val="00CB4238"/>
    <w:rsid w:val="00CB6268"/>
    <w:rsid w:val="00CC091A"/>
    <w:rsid w:val="00CC09AB"/>
    <w:rsid w:val="00CC111A"/>
    <w:rsid w:val="00CC1E9B"/>
    <w:rsid w:val="00CC3CD6"/>
    <w:rsid w:val="00CC7140"/>
    <w:rsid w:val="00CC7707"/>
    <w:rsid w:val="00CC7E67"/>
    <w:rsid w:val="00CD0720"/>
    <w:rsid w:val="00CD07A1"/>
    <w:rsid w:val="00CD1667"/>
    <w:rsid w:val="00CD282D"/>
    <w:rsid w:val="00CD4B3C"/>
    <w:rsid w:val="00CD656C"/>
    <w:rsid w:val="00CE0E77"/>
    <w:rsid w:val="00CE1090"/>
    <w:rsid w:val="00CE1A1C"/>
    <w:rsid w:val="00CE2F63"/>
    <w:rsid w:val="00CE3371"/>
    <w:rsid w:val="00CE57F2"/>
    <w:rsid w:val="00CE7DAB"/>
    <w:rsid w:val="00CF0E41"/>
    <w:rsid w:val="00CF1CB1"/>
    <w:rsid w:val="00CF1FF6"/>
    <w:rsid w:val="00CF201E"/>
    <w:rsid w:val="00CF270A"/>
    <w:rsid w:val="00CF3405"/>
    <w:rsid w:val="00CF713A"/>
    <w:rsid w:val="00CF7377"/>
    <w:rsid w:val="00D0003E"/>
    <w:rsid w:val="00D00A31"/>
    <w:rsid w:val="00D00FA5"/>
    <w:rsid w:val="00D031CB"/>
    <w:rsid w:val="00D0393D"/>
    <w:rsid w:val="00D04240"/>
    <w:rsid w:val="00D04688"/>
    <w:rsid w:val="00D0676C"/>
    <w:rsid w:val="00D07805"/>
    <w:rsid w:val="00D079F7"/>
    <w:rsid w:val="00D12B9E"/>
    <w:rsid w:val="00D12E27"/>
    <w:rsid w:val="00D13039"/>
    <w:rsid w:val="00D1330A"/>
    <w:rsid w:val="00D15078"/>
    <w:rsid w:val="00D1507E"/>
    <w:rsid w:val="00D1589E"/>
    <w:rsid w:val="00D1699D"/>
    <w:rsid w:val="00D17392"/>
    <w:rsid w:val="00D17BCE"/>
    <w:rsid w:val="00D2029A"/>
    <w:rsid w:val="00D20482"/>
    <w:rsid w:val="00D21692"/>
    <w:rsid w:val="00D24CF2"/>
    <w:rsid w:val="00D261AB"/>
    <w:rsid w:val="00D27333"/>
    <w:rsid w:val="00D31FF7"/>
    <w:rsid w:val="00D33BA3"/>
    <w:rsid w:val="00D33C68"/>
    <w:rsid w:val="00D33D6C"/>
    <w:rsid w:val="00D352B3"/>
    <w:rsid w:val="00D37259"/>
    <w:rsid w:val="00D37ABA"/>
    <w:rsid w:val="00D43936"/>
    <w:rsid w:val="00D442F0"/>
    <w:rsid w:val="00D45034"/>
    <w:rsid w:val="00D452FC"/>
    <w:rsid w:val="00D4649F"/>
    <w:rsid w:val="00D47C70"/>
    <w:rsid w:val="00D47F2E"/>
    <w:rsid w:val="00D506EE"/>
    <w:rsid w:val="00D50A3A"/>
    <w:rsid w:val="00D50D4D"/>
    <w:rsid w:val="00D5153C"/>
    <w:rsid w:val="00D549E4"/>
    <w:rsid w:val="00D551FB"/>
    <w:rsid w:val="00D56CA1"/>
    <w:rsid w:val="00D570E1"/>
    <w:rsid w:val="00D60B47"/>
    <w:rsid w:val="00D60E96"/>
    <w:rsid w:val="00D62098"/>
    <w:rsid w:val="00D63212"/>
    <w:rsid w:val="00D63C17"/>
    <w:rsid w:val="00D64731"/>
    <w:rsid w:val="00D64A02"/>
    <w:rsid w:val="00D65D63"/>
    <w:rsid w:val="00D671F9"/>
    <w:rsid w:val="00D702F9"/>
    <w:rsid w:val="00D70E0B"/>
    <w:rsid w:val="00D72628"/>
    <w:rsid w:val="00D72D17"/>
    <w:rsid w:val="00D734FA"/>
    <w:rsid w:val="00D73B79"/>
    <w:rsid w:val="00D7596F"/>
    <w:rsid w:val="00D76788"/>
    <w:rsid w:val="00D773EB"/>
    <w:rsid w:val="00D825DC"/>
    <w:rsid w:val="00D830F4"/>
    <w:rsid w:val="00D83CCA"/>
    <w:rsid w:val="00D84D02"/>
    <w:rsid w:val="00D857A5"/>
    <w:rsid w:val="00D9075D"/>
    <w:rsid w:val="00D90C03"/>
    <w:rsid w:val="00D91C7A"/>
    <w:rsid w:val="00D9211F"/>
    <w:rsid w:val="00D92B76"/>
    <w:rsid w:val="00D92FD3"/>
    <w:rsid w:val="00D95353"/>
    <w:rsid w:val="00D95879"/>
    <w:rsid w:val="00D95E05"/>
    <w:rsid w:val="00D96155"/>
    <w:rsid w:val="00D96395"/>
    <w:rsid w:val="00DA1C9D"/>
    <w:rsid w:val="00DA29C3"/>
    <w:rsid w:val="00DA5BF7"/>
    <w:rsid w:val="00DA73D8"/>
    <w:rsid w:val="00DA7979"/>
    <w:rsid w:val="00DB01A0"/>
    <w:rsid w:val="00DB2801"/>
    <w:rsid w:val="00DB280D"/>
    <w:rsid w:val="00DB3331"/>
    <w:rsid w:val="00DB3D58"/>
    <w:rsid w:val="00DB489D"/>
    <w:rsid w:val="00DB4F9B"/>
    <w:rsid w:val="00DB58C4"/>
    <w:rsid w:val="00DB67DD"/>
    <w:rsid w:val="00DB72AF"/>
    <w:rsid w:val="00DB7F18"/>
    <w:rsid w:val="00DC036D"/>
    <w:rsid w:val="00DC1EF0"/>
    <w:rsid w:val="00DC2D4C"/>
    <w:rsid w:val="00DC73DB"/>
    <w:rsid w:val="00DD0516"/>
    <w:rsid w:val="00DD090D"/>
    <w:rsid w:val="00DD14D9"/>
    <w:rsid w:val="00DD19BC"/>
    <w:rsid w:val="00DD1BEE"/>
    <w:rsid w:val="00DD2559"/>
    <w:rsid w:val="00DD2F4C"/>
    <w:rsid w:val="00DD3B00"/>
    <w:rsid w:val="00DD57F2"/>
    <w:rsid w:val="00DD5AC1"/>
    <w:rsid w:val="00DE29BF"/>
    <w:rsid w:val="00DE5A45"/>
    <w:rsid w:val="00DE66BB"/>
    <w:rsid w:val="00DE6BC8"/>
    <w:rsid w:val="00DF1CAA"/>
    <w:rsid w:val="00DF2EDB"/>
    <w:rsid w:val="00DF4727"/>
    <w:rsid w:val="00DF4CFC"/>
    <w:rsid w:val="00DF4E78"/>
    <w:rsid w:val="00DF7A25"/>
    <w:rsid w:val="00E012B0"/>
    <w:rsid w:val="00E0187C"/>
    <w:rsid w:val="00E01AD5"/>
    <w:rsid w:val="00E04088"/>
    <w:rsid w:val="00E041E4"/>
    <w:rsid w:val="00E04D97"/>
    <w:rsid w:val="00E05336"/>
    <w:rsid w:val="00E06926"/>
    <w:rsid w:val="00E076A7"/>
    <w:rsid w:val="00E100ED"/>
    <w:rsid w:val="00E103F6"/>
    <w:rsid w:val="00E10557"/>
    <w:rsid w:val="00E110F7"/>
    <w:rsid w:val="00E12F44"/>
    <w:rsid w:val="00E13BE9"/>
    <w:rsid w:val="00E140C3"/>
    <w:rsid w:val="00E147AC"/>
    <w:rsid w:val="00E148A9"/>
    <w:rsid w:val="00E15994"/>
    <w:rsid w:val="00E16FEB"/>
    <w:rsid w:val="00E17163"/>
    <w:rsid w:val="00E17308"/>
    <w:rsid w:val="00E17F44"/>
    <w:rsid w:val="00E20CC7"/>
    <w:rsid w:val="00E2144C"/>
    <w:rsid w:val="00E220C4"/>
    <w:rsid w:val="00E222B7"/>
    <w:rsid w:val="00E22AD1"/>
    <w:rsid w:val="00E239F6"/>
    <w:rsid w:val="00E244B0"/>
    <w:rsid w:val="00E25CA3"/>
    <w:rsid w:val="00E2649C"/>
    <w:rsid w:val="00E264CF"/>
    <w:rsid w:val="00E31629"/>
    <w:rsid w:val="00E31C36"/>
    <w:rsid w:val="00E31CCF"/>
    <w:rsid w:val="00E3283C"/>
    <w:rsid w:val="00E32E27"/>
    <w:rsid w:val="00E33AE9"/>
    <w:rsid w:val="00E33E20"/>
    <w:rsid w:val="00E342C3"/>
    <w:rsid w:val="00E35DF9"/>
    <w:rsid w:val="00E36229"/>
    <w:rsid w:val="00E37D4B"/>
    <w:rsid w:val="00E409A2"/>
    <w:rsid w:val="00E41CA0"/>
    <w:rsid w:val="00E41D6E"/>
    <w:rsid w:val="00E44096"/>
    <w:rsid w:val="00E45849"/>
    <w:rsid w:val="00E4596D"/>
    <w:rsid w:val="00E4631C"/>
    <w:rsid w:val="00E47373"/>
    <w:rsid w:val="00E50B0A"/>
    <w:rsid w:val="00E52F1D"/>
    <w:rsid w:val="00E53B9E"/>
    <w:rsid w:val="00E54BDD"/>
    <w:rsid w:val="00E60818"/>
    <w:rsid w:val="00E60D97"/>
    <w:rsid w:val="00E61B21"/>
    <w:rsid w:val="00E61E39"/>
    <w:rsid w:val="00E621C5"/>
    <w:rsid w:val="00E62A13"/>
    <w:rsid w:val="00E62BD0"/>
    <w:rsid w:val="00E62CFE"/>
    <w:rsid w:val="00E62E57"/>
    <w:rsid w:val="00E63D5B"/>
    <w:rsid w:val="00E63F13"/>
    <w:rsid w:val="00E6410E"/>
    <w:rsid w:val="00E64A82"/>
    <w:rsid w:val="00E651E0"/>
    <w:rsid w:val="00E66168"/>
    <w:rsid w:val="00E66339"/>
    <w:rsid w:val="00E66DD1"/>
    <w:rsid w:val="00E711AC"/>
    <w:rsid w:val="00E72722"/>
    <w:rsid w:val="00E73F84"/>
    <w:rsid w:val="00E75362"/>
    <w:rsid w:val="00E75453"/>
    <w:rsid w:val="00E75569"/>
    <w:rsid w:val="00E761C5"/>
    <w:rsid w:val="00E76924"/>
    <w:rsid w:val="00E770B9"/>
    <w:rsid w:val="00E77716"/>
    <w:rsid w:val="00E80AD5"/>
    <w:rsid w:val="00E80C12"/>
    <w:rsid w:val="00E81019"/>
    <w:rsid w:val="00E8192E"/>
    <w:rsid w:val="00E85559"/>
    <w:rsid w:val="00E85B15"/>
    <w:rsid w:val="00E8641A"/>
    <w:rsid w:val="00E877A9"/>
    <w:rsid w:val="00E91417"/>
    <w:rsid w:val="00E917D9"/>
    <w:rsid w:val="00E91F06"/>
    <w:rsid w:val="00E92389"/>
    <w:rsid w:val="00E9350D"/>
    <w:rsid w:val="00E937DB"/>
    <w:rsid w:val="00EA0DDB"/>
    <w:rsid w:val="00EA10F8"/>
    <w:rsid w:val="00EA16A7"/>
    <w:rsid w:val="00EA17DD"/>
    <w:rsid w:val="00EA2094"/>
    <w:rsid w:val="00EA2970"/>
    <w:rsid w:val="00EA3328"/>
    <w:rsid w:val="00EA6F79"/>
    <w:rsid w:val="00EA796F"/>
    <w:rsid w:val="00EB21DC"/>
    <w:rsid w:val="00EB21E1"/>
    <w:rsid w:val="00EB2449"/>
    <w:rsid w:val="00EB3E2B"/>
    <w:rsid w:val="00EB3E84"/>
    <w:rsid w:val="00EB3F20"/>
    <w:rsid w:val="00EB4666"/>
    <w:rsid w:val="00EB4689"/>
    <w:rsid w:val="00EB5220"/>
    <w:rsid w:val="00EB5992"/>
    <w:rsid w:val="00EB5DC3"/>
    <w:rsid w:val="00EB5F9D"/>
    <w:rsid w:val="00EB61DE"/>
    <w:rsid w:val="00EB629A"/>
    <w:rsid w:val="00EC07E6"/>
    <w:rsid w:val="00EC2E59"/>
    <w:rsid w:val="00ED036E"/>
    <w:rsid w:val="00ED1236"/>
    <w:rsid w:val="00ED1DC3"/>
    <w:rsid w:val="00ED1E8F"/>
    <w:rsid w:val="00ED1ED1"/>
    <w:rsid w:val="00ED2242"/>
    <w:rsid w:val="00ED29B3"/>
    <w:rsid w:val="00ED6383"/>
    <w:rsid w:val="00ED6C39"/>
    <w:rsid w:val="00ED75B1"/>
    <w:rsid w:val="00EE1C49"/>
    <w:rsid w:val="00EE1CFE"/>
    <w:rsid w:val="00EE30C6"/>
    <w:rsid w:val="00EE4660"/>
    <w:rsid w:val="00EE4ED9"/>
    <w:rsid w:val="00EE67A3"/>
    <w:rsid w:val="00EE6DF0"/>
    <w:rsid w:val="00EF06F0"/>
    <w:rsid w:val="00EF1D37"/>
    <w:rsid w:val="00EF1E28"/>
    <w:rsid w:val="00EF3E10"/>
    <w:rsid w:val="00EF43BC"/>
    <w:rsid w:val="00EF55E0"/>
    <w:rsid w:val="00EF6E7F"/>
    <w:rsid w:val="00EF780C"/>
    <w:rsid w:val="00F00447"/>
    <w:rsid w:val="00F00B6B"/>
    <w:rsid w:val="00F00EAF"/>
    <w:rsid w:val="00F01141"/>
    <w:rsid w:val="00F01BA3"/>
    <w:rsid w:val="00F02500"/>
    <w:rsid w:val="00F027BF"/>
    <w:rsid w:val="00F02AB2"/>
    <w:rsid w:val="00F05036"/>
    <w:rsid w:val="00F05411"/>
    <w:rsid w:val="00F058E7"/>
    <w:rsid w:val="00F05B6D"/>
    <w:rsid w:val="00F06F5A"/>
    <w:rsid w:val="00F06FD4"/>
    <w:rsid w:val="00F074B7"/>
    <w:rsid w:val="00F121F6"/>
    <w:rsid w:val="00F12CE3"/>
    <w:rsid w:val="00F136A6"/>
    <w:rsid w:val="00F13E18"/>
    <w:rsid w:val="00F1490A"/>
    <w:rsid w:val="00F14CC4"/>
    <w:rsid w:val="00F15A9D"/>
    <w:rsid w:val="00F16FFB"/>
    <w:rsid w:val="00F17EEF"/>
    <w:rsid w:val="00F20114"/>
    <w:rsid w:val="00F2026F"/>
    <w:rsid w:val="00F2162E"/>
    <w:rsid w:val="00F2201F"/>
    <w:rsid w:val="00F221AF"/>
    <w:rsid w:val="00F22FBE"/>
    <w:rsid w:val="00F2462B"/>
    <w:rsid w:val="00F25A23"/>
    <w:rsid w:val="00F26353"/>
    <w:rsid w:val="00F26E60"/>
    <w:rsid w:val="00F27344"/>
    <w:rsid w:val="00F27E5E"/>
    <w:rsid w:val="00F30A28"/>
    <w:rsid w:val="00F3148E"/>
    <w:rsid w:val="00F322A6"/>
    <w:rsid w:val="00F325A8"/>
    <w:rsid w:val="00F325CF"/>
    <w:rsid w:val="00F32A63"/>
    <w:rsid w:val="00F33AE7"/>
    <w:rsid w:val="00F33D0C"/>
    <w:rsid w:val="00F34EAE"/>
    <w:rsid w:val="00F35055"/>
    <w:rsid w:val="00F35BA9"/>
    <w:rsid w:val="00F35E76"/>
    <w:rsid w:val="00F360FC"/>
    <w:rsid w:val="00F415AD"/>
    <w:rsid w:val="00F41F9A"/>
    <w:rsid w:val="00F431DA"/>
    <w:rsid w:val="00F44242"/>
    <w:rsid w:val="00F44DCE"/>
    <w:rsid w:val="00F44DEE"/>
    <w:rsid w:val="00F46BC0"/>
    <w:rsid w:val="00F52928"/>
    <w:rsid w:val="00F55784"/>
    <w:rsid w:val="00F56A86"/>
    <w:rsid w:val="00F570C3"/>
    <w:rsid w:val="00F57C6D"/>
    <w:rsid w:val="00F60F0A"/>
    <w:rsid w:val="00F61481"/>
    <w:rsid w:val="00F61ED2"/>
    <w:rsid w:val="00F62B2B"/>
    <w:rsid w:val="00F62C1F"/>
    <w:rsid w:val="00F62CA0"/>
    <w:rsid w:val="00F63297"/>
    <w:rsid w:val="00F6341C"/>
    <w:rsid w:val="00F63D2A"/>
    <w:rsid w:val="00F6420B"/>
    <w:rsid w:val="00F646FB"/>
    <w:rsid w:val="00F64CAA"/>
    <w:rsid w:val="00F650ED"/>
    <w:rsid w:val="00F66553"/>
    <w:rsid w:val="00F67506"/>
    <w:rsid w:val="00F67AC7"/>
    <w:rsid w:val="00F67B04"/>
    <w:rsid w:val="00F70DE5"/>
    <w:rsid w:val="00F70E9D"/>
    <w:rsid w:val="00F73548"/>
    <w:rsid w:val="00F743C9"/>
    <w:rsid w:val="00F745DB"/>
    <w:rsid w:val="00F753EB"/>
    <w:rsid w:val="00F75B27"/>
    <w:rsid w:val="00F760C7"/>
    <w:rsid w:val="00F76D47"/>
    <w:rsid w:val="00F821CD"/>
    <w:rsid w:val="00F8276F"/>
    <w:rsid w:val="00F8289A"/>
    <w:rsid w:val="00F8398E"/>
    <w:rsid w:val="00F83B3C"/>
    <w:rsid w:val="00F83E7E"/>
    <w:rsid w:val="00F850B1"/>
    <w:rsid w:val="00F85C33"/>
    <w:rsid w:val="00F87070"/>
    <w:rsid w:val="00F8768B"/>
    <w:rsid w:val="00F8778F"/>
    <w:rsid w:val="00F90759"/>
    <w:rsid w:val="00F90AC1"/>
    <w:rsid w:val="00F91FE6"/>
    <w:rsid w:val="00F93FD2"/>
    <w:rsid w:val="00F9570A"/>
    <w:rsid w:val="00F95ACD"/>
    <w:rsid w:val="00F9674D"/>
    <w:rsid w:val="00F969DD"/>
    <w:rsid w:val="00F976B1"/>
    <w:rsid w:val="00F9783C"/>
    <w:rsid w:val="00F97AB3"/>
    <w:rsid w:val="00FA075F"/>
    <w:rsid w:val="00FA152F"/>
    <w:rsid w:val="00FA17C0"/>
    <w:rsid w:val="00FA25A4"/>
    <w:rsid w:val="00FA28E7"/>
    <w:rsid w:val="00FA4127"/>
    <w:rsid w:val="00FA4691"/>
    <w:rsid w:val="00FB2077"/>
    <w:rsid w:val="00FB39E3"/>
    <w:rsid w:val="00FB44C9"/>
    <w:rsid w:val="00FB512A"/>
    <w:rsid w:val="00FB56A5"/>
    <w:rsid w:val="00FC123C"/>
    <w:rsid w:val="00FC1714"/>
    <w:rsid w:val="00FC33D0"/>
    <w:rsid w:val="00FC38A6"/>
    <w:rsid w:val="00FC448F"/>
    <w:rsid w:val="00FC63E7"/>
    <w:rsid w:val="00FC68C9"/>
    <w:rsid w:val="00FC6CB7"/>
    <w:rsid w:val="00FD2B06"/>
    <w:rsid w:val="00FD4C31"/>
    <w:rsid w:val="00FD529F"/>
    <w:rsid w:val="00FD5898"/>
    <w:rsid w:val="00FD6A9B"/>
    <w:rsid w:val="00FD6AA3"/>
    <w:rsid w:val="00FD6C53"/>
    <w:rsid w:val="00FD7D60"/>
    <w:rsid w:val="00FE16A2"/>
    <w:rsid w:val="00FE4BF4"/>
    <w:rsid w:val="00FE66FD"/>
    <w:rsid w:val="00FE6FEE"/>
    <w:rsid w:val="00FE7137"/>
    <w:rsid w:val="00FE7E8B"/>
    <w:rsid w:val="00FF0837"/>
    <w:rsid w:val="00FF0B5C"/>
    <w:rsid w:val="00FF3728"/>
    <w:rsid w:val="00FF3776"/>
    <w:rsid w:val="00FF491E"/>
    <w:rsid w:val="00FF5057"/>
    <w:rsid w:val="00FF60B6"/>
    <w:rsid w:val="00FF6B23"/>
    <w:rsid w:val="03A14076"/>
    <w:rsid w:val="2A290E93"/>
    <w:rsid w:val="4C7C777C"/>
    <w:rsid w:val="5EF3380A"/>
    <w:rsid w:val="609A5F88"/>
    <w:rsid w:val="62372074"/>
    <w:rsid w:val="76BB2B03"/>
    <w:rsid w:val="78DF6046"/>
    <w:rsid w:val="79920D0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0"/>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Strong"/>
    <w:basedOn w:val="4"/>
    <w:qFormat/>
    <w:uiPriority w:val="22"/>
    <w:rPr>
      <w:b/>
      <w:bCs/>
    </w:rPr>
  </w:style>
  <w:style w:type="character" w:styleId="6">
    <w:name w:val="page number"/>
    <w:basedOn w:val="4"/>
    <w:qFormat/>
    <w:uiPriority w:val="0"/>
  </w:style>
  <w:style w:type="character" w:customStyle="1" w:styleId="8">
    <w:name w:val="页眉 Char"/>
    <w:basedOn w:val="4"/>
    <w:link w:val="3"/>
    <w:qFormat/>
    <w:uiPriority w:val="99"/>
    <w:rPr>
      <w:kern w:val="2"/>
      <w:sz w:val="18"/>
      <w:szCs w:val="18"/>
    </w:rPr>
  </w:style>
  <w:style w:type="character" w:customStyle="1" w:styleId="9">
    <w:name w:val="页脚 Char"/>
    <w:basedOn w:val="4"/>
    <w:link w:val="2"/>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430</Words>
  <Characters>2452</Characters>
  <Lines>20</Lines>
  <Paragraphs>5</Paragraphs>
  <TotalTime>0</TotalTime>
  <ScaleCrop>false</ScaleCrop>
  <LinksUpToDate>false</LinksUpToDate>
  <CharactersWithSpaces>2877</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2017-11-08T13:21:00Z</dcterms:created>
  <dc:creator>钱政香</dc:creator>
  <cp:lastModifiedBy>吴湘婕</cp:lastModifiedBy>
  <cp:lastPrinted>2018-09-25T03:43:00Z</cp:lastPrinted>
  <dcterms:modified xsi:type="dcterms:W3CDTF">2018-09-27T07:44:20Z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